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2022年重庆教育发展报告典型案例及</w:t>
      </w:r>
    </w:p>
    <w:p>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咨政报告征稿评选结果</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5261"/>
        <w:gridCol w:w="1756"/>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000" w:type="pct"/>
            <w:gridSpan w:val="4"/>
            <w:noWrap/>
            <w:vAlign w:val="center"/>
          </w:tcPr>
          <w:p>
            <w:pPr>
              <w:widowControl/>
              <w:adjustRightInd w:val="0"/>
              <w:snapToGrid w:val="0"/>
              <w:jc w:val="center"/>
              <w:textAlignment w:val="center"/>
              <w:rPr>
                <w:rFonts w:ascii="方正黑体_GBK" w:hAnsi="方正黑体_GBK" w:eastAsia="方正黑体_GBK" w:cs="方正黑体_GBK"/>
                <w:color w:val="000000"/>
                <w:kern w:val="0"/>
                <w:sz w:val="32"/>
                <w:szCs w:val="32"/>
                <w:lang w:bidi="ar"/>
              </w:rPr>
            </w:pPr>
            <w:r>
              <w:rPr>
                <w:rFonts w:hint="eastAsia" w:ascii="方正黑体_GBK" w:hAnsi="方正黑体_GBK" w:eastAsia="方正黑体_GBK" w:cs="方正黑体_GBK"/>
                <w:color w:val="000000"/>
                <w:kern w:val="0"/>
                <w:sz w:val="32"/>
                <w:szCs w:val="32"/>
                <w:lang w:bidi="ar"/>
              </w:rPr>
              <w:t>典型案例-高校组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5000" w:type="pct"/>
            <w:gridSpan w:val="4"/>
            <w:noWrap/>
            <w:vAlign w:val="center"/>
          </w:tcPr>
          <w:p>
            <w:pPr>
              <w:widowControl/>
              <w:jc w:val="center"/>
              <w:textAlignment w:val="center"/>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kern w:val="0"/>
                <w:sz w:val="32"/>
                <w:szCs w:val="32"/>
                <w:lang w:bidi="ar"/>
              </w:rPr>
              <w:t>一等奖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1"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95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803"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94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社会主题统揽，艺术磨砺赋能——塑造“人民设计师”的川美实践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四川美术学院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段胜峰、吕曦、蒋金辰、皮永生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西南大学破立并举探索教师多元分类评价改革</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赵倩、葛信勇、张代平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“四维一体”推进高水平国际化特色高校建设——以四川外国语大学为例</w:t>
            </w:r>
          </w:p>
        </w:tc>
        <w:tc>
          <w:tcPr>
            <w:tcW w:w="803"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四川外国语大学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秦勇、郭东方、秦文豪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重庆大学卓越工程师培养的探索与实践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罗远新、韦迎春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“塑形”铸魂培“名生”  知行合一育新人——重庆师范大学创新构建“塑形”铸魂实践教育模式</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重庆师范大学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胡小强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打造政校园企“发展共同体”，赋能“成渝双城圈”建设——深化产教融合着力提升教育服务支撑力的“城职探索”</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唐玉林、沈霞、杨敏、谢昌炜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000" w:type="pct"/>
            <w:gridSpan w:val="4"/>
            <w:noWrap/>
            <w:vAlign w:val="center"/>
          </w:tcPr>
          <w:p>
            <w:pPr>
              <w:widowControl/>
              <w:jc w:val="center"/>
              <w:textAlignment w:val="center"/>
              <w:rPr>
                <w:rFonts w:ascii="方正楷体_GBK" w:hAnsi="方正楷体_GBK" w:eastAsia="方正楷体_GBK" w:cs="方正楷体_GBK"/>
                <w:b/>
                <w:color w:val="000000"/>
                <w:sz w:val="36"/>
                <w:szCs w:val="36"/>
              </w:rPr>
            </w:pPr>
            <w:r>
              <w:rPr>
                <w:rFonts w:hint="eastAsia" w:ascii="方正楷体_GBK" w:hAnsi="方正楷体_GBK" w:eastAsia="方正楷体_GBK" w:cs="方正楷体_GBK"/>
                <w:b/>
                <w:color w:val="000000"/>
                <w:kern w:val="0"/>
                <w:sz w:val="32"/>
                <w:szCs w:val="32"/>
                <w:lang w:bidi="ar"/>
              </w:rPr>
              <w:t>二等奖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01"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95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803"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94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组织变革视角下“五育并举”新型“一站式”学生社区探索与实践——以重庆理工大学为例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张娅、李永兵、荀启明、赵毅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分类评聘再出实招 重庆工商大学按下教师评价改革“升级键”</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林文军、李俊立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在实践中探索民办高校一流专业特色化育人道路——以重庆财经学院金融学专业为例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重庆财经学院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贺晗、吴华安、崔中山、李静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服务乡村振兴战略有“研”有“为”——西南大学研究生实践育人探索与实践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秦松、张弛、朱干、邓媛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构建“133”大思政工作体系  推动“三全育人”综合改革实践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重庆第二师范学院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温万光、夏泽胜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“双高”专业群动态适应性评价模式构建与实践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重庆电讯职业学院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王玉云、王永斌、鲁军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红色大思政课“一渠道、两阵地、四课堂”模式构建与实践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重庆城市管理职业学院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杨飏、礼享、张燕霞、陈静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对接重庆现代服务业 培养电商“双创”人才——以重庆商务职业学院电子商务专业为例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重庆商务职业学院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谢珍君、张莹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聚焦国家大战略 大力发展职业技能培训新项目</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重庆交通大学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万宇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产教融合助力成果转化  科教融汇共育新药人才——以重庆文理学院药学院“产科教一体化”建设成效为例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重庆文理学院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罗洁、唐典勇、蔡艳华、苏兴文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“三维度三融合”党建育人体系探索与实践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长江师范学院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谢秀军、曾俊、李梦莹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“四位一体 ”产教协同育人的改革与实践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重庆旅游职业学院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谈建成、张持平、唐闻城、郭艳芳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坚持分层分类教育，推动人才培养模式创新</w:t>
            </w:r>
          </w:p>
        </w:tc>
        <w:tc>
          <w:tcPr>
            <w:tcW w:w="803"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四川外国语大学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彭程、林川、段玲琍、董竞飞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打造国防教育特色品牌 创新定向军士跨界培养——重庆交通职业学院、重庆市人民武装学院创建定向军士强化国防教育特色育人体系</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重庆交通职业学院、重庆市人民武装学院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张文礼、司鹏飞、谢岭松、陈丽娟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创新“五位一体”服务模式 提升“三下乡”育人实效——以重庆三峡医药高等专科学校为例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重庆三峡医药高等专科学校</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彭毅、边茂飞、杜高鹏、向玲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四双律动的“四有”课堂改革与实践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李淼岚、秦凤梅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“立美育人，德技并修，人人出彩”职业院校美育评价改革实践——以重庆文化艺术职业学院为例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重庆文化艺术职业学院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胡莉、胡若雪、刁维军、程蔓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“产教融合，校院企合作”集团化办学共育高素质医药卫生人才</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重庆医药高等专科学校</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潘伦、兰作平、邱妍川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“构建‘135’格局实施‘三化’工程落实立德树人”高质量党建引领学校发展</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重庆工业职业技术学院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许媚、傅田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000" w:type="pct"/>
            <w:gridSpan w:val="4"/>
            <w:noWrap/>
            <w:vAlign w:val="center"/>
          </w:tcPr>
          <w:p>
            <w:pPr>
              <w:widowControl/>
              <w:jc w:val="center"/>
              <w:textAlignment w:val="center"/>
              <w:rPr>
                <w:rFonts w:ascii="方正楷体_GBK" w:hAnsi="方正楷体_GBK" w:eastAsia="方正楷体_GBK" w:cs="方正楷体_GBK"/>
                <w:b/>
                <w:color w:val="000000"/>
                <w:sz w:val="36"/>
                <w:szCs w:val="36"/>
              </w:rPr>
            </w:pPr>
            <w:r>
              <w:rPr>
                <w:rFonts w:hint="eastAsia" w:ascii="方正楷体_GBK" w:hAnsi="方正楷体_GBK" w:eastAsia="方正楷体_GBK" w:cs="方正楷体_GBK"/>
                <w:b/>
                <w:color w:val="000000"/>
                <w:kern w:val="0"/>
                <w:sz w:val="32"/>
                <w:szCs w:val="32"/>
                <w:lang w:bidi="ar"/>
              </w:rPr>
              <w:t>三等奖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301"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95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803"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942"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构建依法治校“四大体系” 推进大学治理现代化——重庆师范大学依法治校创新实践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重庆师范大学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孟东方、胡志毅、贺佳、刘涓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弘扬时代楷模王红旭精神，培育堪当复兴大任的时代新人——重庆师范大学创建王红旭班（团支部）典型案例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重庆师范大学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蒋霞、党亚莲、郎银雪、张敬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全链条协同、全要素发力，一体化推进与保障高校毕业生就业工作</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重庆师范大学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田力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线上线下虚实融合开放应用独具特色</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重庆邮电大学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杨虹、张红升、王智鹏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优化结构提升素质激发活力 全面建设高质量辅导员队伍</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重庆交通大学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叶勇、高静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引领、渗透、互促的多维融合式大学生思政课实践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陈艳宇、刘富胜、邬勇、胥炜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跨学科的体系化建构：科技艺术的“川美+成电”范式</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四川美术学院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唐勇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构筑高质量人才队伍  创建全市重要人才高地和创新高地</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重庆理工大学</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李又兵、岳钦娟、陶乃航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重庆三峡学院在教师培养、能力提升等方面措施和成果</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重庆三峡学院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王良伟、涂正文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重庆文理学院深度转型发展案例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重庆文理学院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黄伟九、何万国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基于企业特色红色文化 推动化工专业课程思政建设新发展</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长江师范学院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腾晓旭、时建伟、石文兵、董立春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持续强化就业优先，促进高质量充分就业——以长江师范学院机器人工程学院为例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长江师范学院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程莎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双创实践驱动应用型本科计算机专业大学生拓宽职业路径的案例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重庆科技学院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刘英春、谢枭鹏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以戏育人，以剧化人：推动美育和德育融合发展的二师实践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重庆第二师范学院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万书辉、李学容、丁付禄、杜帧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聚焦“五度”，扎实推进网络思想政治教育</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重庆人文科技学院 </w:t>
            </w:r>
          </w:p>
        </w:tc>
        <w:tc>
          <w:tcPr>
            <w:tcW w:w="942"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匡霞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“三式三进”推动普法教育走深走实——以重庆工程学院为例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重庆工程学院</w:t>
            </w:r>
          </w:p>
        </w:tc>
        <w:tc>
          <w:tcPr>
            <w:tcW w:w="942"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邹均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“一引领两建设三保障”民办高校组织育人体系构建与实践——以重庆工程学院为例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重庆工程学院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蒋国华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深化教学改革探索全媒体人才培养路径</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重庆工商大学派斯学院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曹雨佳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管理型会计人才培养教学改革与实践——校企协同“理实结合·三段位·双课堂”教学模式探索：以重庆城市科技学院为例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重庆城市科技学院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邓丽纯、李秀娟、王琴 、黄翀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20</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应用型本科高校画好“五个同心圆”，促进“五育融合”发展——以重庆财经学院为例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重庆财经学院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夏文瑞、房朝君、唐川川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依托专业特色优势 激发乡村振兴活力——以重庆三峡医药高等专科学校为例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重庆三峡医药高等专科学校</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李红丹、董洋吉、杜高鹏、向玲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“一课一特色”建构“中国精神”课程群 ——“精神力量”系列特色思政课教学应用案例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重庆电子工程职业学院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任中莉、刘琴、尚杨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23</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共建校企深度合作新平台 打造校企协同发展新标杆——重庆工业职业技术学院“长安汽车产业学院”探索与实践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重庆工业职业技术学院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马睿、吴海波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24</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创新服务平台  赋能乡村振兴——重庆工程职业技术学院服务乡村振兴实践案例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重庆工程职业技术学院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兰海涛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25</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校企共建产业学院，赋能“专精特新”企业创新发展——重庆城市职业学院长安汽车工匠学院产教融合典型案例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万云、苏皓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26</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“五位一体”构建财经类专业学生核心素养培养体系</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重庆财经职业学院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孙承东、周晓婧、敖贵才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27</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大思政课视域下“一体两翼式”教师队伍建设模式探索</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重庆文化艺术职业学院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张秀娟、刘万万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28</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对接国家双碳战略，以储能科技园为依托打造科教融汇“能源样本”</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重庆能源职业学院 </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刘忠运、黄荣超、马兹林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29</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共生 共融 共育——创建校企命运共同体，培养交通强国建设急需人才的探索与实践</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重庆公共运输职业学院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陈兴劼、彭超、冯倩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30</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民族地区高职院校创新创业人才培养赋能乡村振兴——以重庆经贸职业学院为例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重庆经贸职业学院</w:t>
            </w:r>
          </w:p>
        </w:tc>
        <w:tc>
          <w:tcPr>
            <w:tcW w:w="942"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31</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“引企入教、分类培养、精准施教”的IT人才培养模式</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重庆对外经贸学院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蒋传健、吴亚兰、杨巧梅、陈娟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01"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32</w:t>
            </w:r>
          </w:p>
        </w:tc>
        <w:tc>
          <w:tcPr>
            <w:tcW w:w="295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“普职融通”背景下的课程建设案例</w:t>
            </w:r>
          </w:p>
        </w:tc>
        <w:tc>
          <w:tcPr>
            <w:tcW w:w="803"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重庆艺术工程职业学院</w:t>
            </w:r>
          </w:p>
        </w:tc>
        <w:tc>
          <w:tcPr>
            <w:tcW w:w="942"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刘俊伽</w:t>
            </w:r>
          </w:p>
        </w:tc>
      </w:tr>
    </w:tbl>
    <w:p>
      <w:pPr>
        <w:spacing w:line="600" w:lineRule="exact"/>
        <w:jc w:val="center"/>
        <w:rPr>
          <w:rFonts w:ascii="Times New Roman" w:hAnsi="Times New Roman" w:eastAsia="方正小标宋_GBK"/>
          <w:sz w:val="44"/>
          <w:szCs w:val="44"/>
        </w:rPr>
      </w:pPr>
    </w:p>
    <w:p>
      <w:pPr>
        <w:spacing w:line="600" w:lineRule="exact"/>
        <w:jc w:val="center"/>
        <w:rPr>
          <w:rFonts w:ascii="Times New Roman" w:hAnsi="Times New Roman" w:eastAsia="方正小标宋_GBK"/>
          <w:sz w:val="44"/>
          <w:szCs w:val="44"/>
        </w:rPr>
      </w:pPr>
    </w:p>
    <w:p>
      <w:pPr>
        <w:spacing w:line="600" w:lineRule="exact"/>
        <w:jc w:val="center"/>
        <w:rPr>
          <w:rFonts w:ascii="Times New Roman" w:hAnsi="Times New Roman" w:eastAsia="方正小标宋_GBK"/>
          <w:sz w:val="44"/>
          <w:szCs w:val="44"/>
        </w:rPr>
      </w:pPr>
    </w:p>
    <w:p>
      <w:pPr>
        <w:spacing w:line="600" w:lineRule="exact"/>
        <w:jc w:val="center"/>
        <w:rPr>
          <w:rFonts w:ascii="Times New Roman" w:hAnsi="Times New Roman" w:eastAsia="方正小标宋_GBK"/>
          <w:sz w:val="44"/>
          <w:szCs w:val="44"/>
        </w:rPr>
      </w:pPr>
      <w:bookmarkStart w:id="0" w:name="_GoBack"/>
      <w:bookmarkEnd w:id="0"/>
    </w:p>
    <w:p>
      <w:pPr>
        <w:spacing w:line="600" w:lineRule="exact"/>
        <w:jc w:val="center"/>
        <w:rPr>
          <w:rFonts w:ascii="Times New Roman" w:hAnsi="Times New Roman" w:eastAsia="方正小标宋_GBK"/>
          <w:sz w:val="44"/>
          <w:szCs w:val="44"/>
        </w:rPr>
      </w:pPr>
    </w:p>
    <w:p>
      <w:pPr>
        <w:spacing w:line="20" w:lineRule="exact"/>
        <w:rPr>
          <w:rFonts w:hint="eastAsia" w:ascii="Times New Roman" w:hAnsi="Times New Roman" w:eastAsia="方正小标宋_GBK"/>
          <w:sz w:val="44"/>
          <w:szCs w:val="44"/>
        </w:rPr>
      </w:pP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4597"/>
        <w:gridCol w:w="2124"/>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4"/>
            <w:vAlign w:val="center"/>
          </w:tcPr>
          <w:p>
            <w:pPr>
              <w:widowControl/>
              <w:jc w:val="center"/>
              <w:textAlignment w:val="center"/>
              <w:rPr>
                <w:rFonts w:ascii="方正楷体_GBK" w:hAnsi="方正楷体_GBK" w:eastAsia="方正楷体_GBK" w:cs="方正楷体_GBK"/>
                <w:color w:val="000000"/>
                <w:sz w:val="40"/>
                <w:szCs w:val="40"/>
                <w:lang w:val="en"/>
              </w:rPr>
            </w:pPr>
            <w:r>
              <w:rPr>
                <w:rFonts w:hint="eastAsia" w:ascii="方正黑体_GBK" w:hAnsi="方正黑体_GBK" w:eastAsia="方正黑体_GBK" w:cs="方正黑体_GBK"/>
                <w:color w:val="000000"/>
                <w:kern w:val="0"/>
                <w:sz w:val="32"/>
                <w:szCs w:val="32"/>
                <w:lang w:bidi="ar"/>
              </w:rPr>
              <w:t>典型案例-区县及直属单位组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000" w:type="pct"/>
            <w:gridSpan w:val="4"/>
            <w:vAlign w:val="center"/>
          </w:tcPr>
          <w:p>
            <w:pPr>
              <w:widowControl/>
              <w:jc w:val="center"/>
              <w:textAlignment w:val="center"/>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kern w:val="0"/>
                <w:sz w:val="32"/>
                <w:szCs w:val="32"/>
                <w:lang w:bidi="ar"/>
              </w:rPr>
              <w:t>一等奖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356"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49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5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1000"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区域统筹、协同育人  基于高校在线课程公共服务体系支撑的线上教育改革创新案例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重庆市教育信息技术与装备中心</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姚友明、郑州、张琦、余鑫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大中小学科技拔尖创新人才一体化培养路径与实践——以重庆市育才中学校教育集团为例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重庆市育才中学校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刘刚、任联玮、蒋琳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集团化办学赋能乡村教育振兴的实践探究——以万州三中教育集团为例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重庆市万州第三中学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易彬彬、朱亚运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百名博士进校园：区域推进课后服务高质量发展的实践探索</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中意、贺能坤、廖荣德、骆孝伟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以“行走的思政课”深化大思政课改革创新</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渝中区教育委员会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刘敏、张城娅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中职现代产业学院“五链同轴”模型建设典型案例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重庆市龙门浩职业中学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夏建刚、张欣华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协同推进与特色引领 推动区域体教融合高质量发展——大渡口区体教融合实践探索</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大渡口区教育委员会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李长彬、曾凡科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中职学校“四维进阶 五育融合”体系构建与实践</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重庆市育才职业教育中心</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张涛、曾松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建设跨区域共同体，促进教育均衡发展——以巴蜀云校为例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重庆市巴蜀中学校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李潇珂、周刘波、李妍柳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000" w:type="pct"/>
            <w:gridSpan w:val="4"/>
            <w:vAlign w:val="center"/>
          </w:tcPr>
          <w:p>
            <w:pPr>
              <w:widowControl/>
              <w:jc w:val="center"/>
              <w:textAlignment w:val="center"/>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kern w:val="0"/>
                <w:sz w:val="32"/>
                <w:szCs w:val="32"/>
                <w:lang w:bidi="ar"/>
              </w:rPr>
              <w:t>二等奖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56"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49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5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1000"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永川区深入推进教育行政执法</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魏承文、周利、胡小波、石玉兰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落实“双减”政策  探索区域教育特色发展路径——以北碚区“五项工程”实践为例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重庆市北碚区教师进修学院</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邓凤军、饶英、贺晓霞、李鹏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构建义渡“四维”劳动课程  创新劳动教育评价体系——以大渡口区钰鑫小学“勤品”劳动素养评价为例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重庆市大渡口区钰鑫小学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张雪梅、钟贵建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蒙以养正，乐有所成——渝中区蒙正幼儿园“蒙正”文化构建与实践案例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重庆市渝中区蒙正幼儿园</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陆莹、杨莉蓉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491" w:type="pct"/>
            <w:vAlign w:val="center"/>
          </w:tcPr>
          <w:p>
            <w:pPr>
              <w:widowControl/>
              <w:tabs>
                <w:tab w:val="left" w:pos="3394"/>
              </w:tabs>
              <w:jc w:val="left"/>
              <w:textAlignment w:val="center"/>
              <w:rPr>
                <w:rFonts w:ascii="方正楷体_GBK" w:hAnsi="方正楷体_GBK" w:eastAsia="方正楷体_GBK" w:cs="方正楷体_GBK"/>
                <w:color w:val="000000"/>
                <w:sz w:val="22"/>
                <w:szCs w:val="22"/>
                <w:lang w:val="en"/>
              </w:rPr>
            </w:pPr>
            <w:r>
              <w:rPr>
                <w:rFonts w:hint="eastAsia" w:ascii="方正楷体_GBK" w:hAnsi="方正楷体_GBK" w:eastAsia="方正楷体_GBK" w:cs="方正楷体_GBK"/>
                <w:color w:val="000000"/>
                <w:kern w:val="0"/>
                <w:sz w:val="22"/>
                <w:szCs w:val="22"/>
                <w:lang w:bidi="ar"/>
              </w:rPr>
              <w:t>奉节职业教育助力乡村振兴</w:t>
            </w:r>
            <w:r>
              <w:rPr>
                <w:rFonts w:ascii="方正楷体_GBK" w:hAnsi="方正楷体_GBK" w:eastAsia="方正楷体_GBK" w:cs="方正楷体_GBK"/>
                <w:color w:val="000000"/>
                <w:kern w:val="0"/>
                <w:sz w:val="22"/>
                <w:szCs w:val="22"/>
                <w:lang w:val="en" w:bidi="ar"/>
              </w:rPr>
              <w:tab/>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重庆市奉节职业教育中心</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张素君、陈易、张飞燕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491" w:type="pct"/>
            <w:vAlign w:val="center"/>
          </w:tcPr>
          <w:p>
            <w:pPr>
              <w:widowControl/>
              <w:jc w:val="left"/>
              <w:textAlignment w:val="center"/>
              <w:rPr>
                <w:rFonts w:ascii="方正楷体_GBK" w:hAnsi="方正楷体_GBK" w:eastAsia="方正楷体_GBK" w:cs="方正楷体_GBK"/>
                <w:color w:val="000000"/>
                <w:spacing w:val="-6"/>
                <w:sz w:val="22"/>
                <w:szCs w:val="22"/>
              </w:rPr>
            </w:pPr>
            <w:r>
              <w:rPr>
                <w:rFonts w:hint="eastAsia" w:ascii="方正楷体_GBK" w:hAnsi="方正楷体_GBK" w:eastAsia="方正楷体_GBK" w:cs="方正楷体_GBK"/>
                <w:color w:val="000000"/>
                <w:spacing w:val="-6"/>
                <w:kern w:val="0"/>
                <w:sz w:val="22"/>
                <w:szCs w:val="22"/>
                <w:lang w:bidi="ar"/>
              </w:rPr>
              <w:t>党建统领做头雁  师德示范引群飞——重庆市合川区高龙小学党支部“以党风促师风”典型案例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重庆市合川区高龙完全小学</w:t>
            </w:r>
          </w:p>
        </w:tc>
        <w:tc>
          <w:tcPr>
            <w:tcW w:w="1000"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陈小平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江北中学：强化学校生命教育，减少学生意外伤害</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重庆市江北中学校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但汉国、张程垣、邹梅、袁莲花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沙坪坝区落实“双减”工作的经验与启示</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沙坪坝区教育委员会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向斌、陶禹霖、秦鑫、张晶晶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办好每一所学校  幸福每一个孩子——集团化办学促进区域教育优质均衡发展的南岸实践</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南岸区教育委员会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李智、朱静萍、魏欣、阙新建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“双减”背景下滨江小学劳动教育课程“厨艺”的再建构</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沙坪坝区滨江小学校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包耘、李俏、刘雯钦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发挥“头雁效应”，激发“雁群活力”——万盛小学教师队伍建设典型案例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万盛小学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创新开展教师家访 着力办好人民满意教育</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奉节县教育委员会、奉节县诗城路小学、奉节县永安小学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饶国平、李明才、杨晴、欧波梅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合川区锚定“四个关键”开辟数字教育新赛道</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重庆市合川区教育委员会、重庆市合川区合阳中学、重庆市合川区凉亭子小学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姜方红、曹旺、刘燕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以“双减”增强区域高质量教育体系建设动能</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重庆两江新区教育局</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李亭一、尹浪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以教学述评撬动区域教育评价改革——以璧山区区域推进中小学教师教学述评的实践为例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重庆市璧山区教师进修学校</w:t>
            </w:r>
          </w:p>
        </w:tc>
        <w:tc>
          <w:tcPr>
            <w:tcW w:w="1000"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李洪兵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“电商+产教融合”职业教育助力乡村产业人才双振兴</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重庆市开州区职业教育中心</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李先宇、许艳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聚焦“四个维度”，推动特殊教育健康发展——以云阳县域特殊教育实践工作为例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云阳县教育委员会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余红军、李柱国、姚尚平、杨舒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对少数民数地区县域普通高中振兴发展的探索——以秀山高级中学教育教学工作开展情况为例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秀山县高级中学</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张伟、陈中华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深化教育评价改革，推进教育高质量发展——开州区教育发展典型案例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开州区教育委员会</w:t>
            </w:r>
          </w:p>
        </w:tc>
        <w:tc>
          <w:tcPr>
            <w:tcW w:w="1000"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20</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以“一条路径”“五大机制”赋能乡村教育振兴——乡村振兴背景下县域教研共同体建设之荣昌经验</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重庆市荣昌区教育委员会</w:t>
            </w:r>
          </w:p>
        </w:tc>
        <w:tc>
          <w:tcPr>
            <w:tcW w:w="1000" w:type="pct"/>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朱祥兵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21</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创新信息技术研修模式助力县域信息化提升——忠县中小学教师信息技术应用能力提升工程2.0整校推进项目实施模式探索</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忠县教师进修学院</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王娅萍、黄海容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22</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Style w:val="14"/>
                <w:rFonts w:hint="default" w:ascii="方正楷体_GBK" w:hAnsi="方正楷体_GBK" w:eastAsia="方正楷体_GBK" w:cs="方正楷体_GBK"/>
                <w:lang w:bidi="ar"/>
              </w:rPr>
              <w:t xml:space="preserve">试点校（园）长任期督导评估 </w:t>
            </w:r>
            <w:r>
              <w:rPr>
                <w:rFonts w:hint="eastAsia" w:ascii="方正楷体_GBK" w:hAnsi="方正楷体_GBK" w:eastAsia="方正楷体_GBK" w:cs="方正楷体_GBK"/>
                <w:color w:val="000000"/>
                <w:kern w:val="0"/>
                <w:sz w:val="22"/>
                <w:szCs w:val="22"/>
                <w:lang w:bidi="ar"/>
              </w:rPr>
              <w:t xml:space="preserve"> 助推基础教育高质量发展</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重庆市万州区教育委员会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邓武、陈菊昌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23</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行生活教育 育时代真人——重庆市江津区双福育才中学校课程建设案例</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重庆市江津区双福育才中学校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林晨晶、周云浩、陈杰、张靖玥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24</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基于核心素养的五育融合综合素质评价实践</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重庆市三峡水利电力学校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王东林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25</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走马故事  驿彩人生—新智慧教育背景下走马故事非遗传承实践案例研究</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重庆科学城走马小学校</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谢陆霖、苏建明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356" w:type="pct"/>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26</w:t>
            </w:r>
          </w:p>
        </w:tc>
        <w:tc>
          <w:tcPr>
            <w:tcW w:w="249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推广安吉游戏 促进普惠高质量发展</w:t>
            </w:r>
          </w:p>
        </w:tc>
        <w:tc>
          <w:tcPr>
            <w:tcW w:w="1151"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云阳县教育委员会</w:t>
            </w:r>
          </w:p>
        </w:tc>
        <w:tc>
          <w:tcPr>
            <w:tcW w:w="1000" w:type="pct"/>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陈荣、曾琼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widowControl/>
              <w:jc w:val="center"/>
              <w:textAlignment w:val="center"/>
              <w:rPr>
                <w:rFonts w:ascii="方正楷体_GBK" w:hAnsi="方正楷体_GBK" w:eastAsia="方正楷体_GBK" w:cs="方正楷体_GBK"/>
                <w:b/>
                <w:color w:val="000000"/>
                <w:sz w:val="36"/>
                <w:szCs w:val="36"/>
              </w:rPr>
            </w:pPr>
            <w:r>
              <w:rPr>
                <w:rFonts w:hint="eastAsia" w:ascii="方正楷体_GBK" w:hAnsi="方正楷体_GBK" w:eastAsia="方正楷体_GBK" w:cs="方正楷体_GBK"/>
                <w:b/>
                <w:color w:val="000000"/>
                <w:kern w:val="0"/>
                <w:sz w:val="32"/>
                <w:szCs w:val="32"/>
                <w:lang w:bidi="ar"/>
              </w:rPr>
              <w:t>三等奖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56" w:type="pct"/>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49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51"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1000" w:type="pct"/>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创新实施“五个结合” 军地共育国防后备人才——以重庆市人民武装学院为例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重庆市人民武装学院</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向超、冉卫东、顾俊朴、隗媛媛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深化教育督导改革 加快义务教育优质均衡发展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南岸区教育委员会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李智、朱静萍、王永强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找准用好“四个支点”  促进小学生劳动素养评价走深向实</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重庆市人民小学校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杨浪浪、陈燕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“萌娃理政”社区治理实践课程案例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重庆市江津区滨江四牌坊小学校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邹景华、周咏梅、刘海燕、何练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“六力提升行动”帮扶农村学校 推动城乡教育一体化发展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重庆市巴南区教师进修学校</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尹黎力、蒋雨宏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“解剖-重构-贯通”连环推动  让幼小科学衔接生态之花精彩绽放——开州区纵深推进幼小科学衔接区域实践案例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开州区教育委员会</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黄小恢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永川区探索建立“五破五立”评价改革  赋能教育高质量发展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杜大志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构建集团教研新生态，促进城乡教育一体化——重庆市涪陵城区第六小学校教育集团“生态教研”探微</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重庆市涪陵城区第六小学校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张红翼、查能辉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中高贯通“六个三”，建强文创产业人才链</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大足区职业教育中心</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蒋涛、宋海、何正平、罗在兵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自然渗透式劳动教育实践——以幼儿园集市游戏为例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重庆市武隆区示范幼儿园</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林艳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4597" w:type="dxa"/>
            <w:vAlign w:val="center"/>
          </w:tcPr>
          <w:p>
            <w:pPr>
              <w:widowControl/>
              <w:jc w:val="left"/>
              <w:textAlignment w:val="center"/>
              <w:rPr>
                <w:rFonts w:ascii="方正楷体_GBK" w:hAnsi="方正楷体_GBK" w:eastAsia="方正楷体_GBK" w:cs="方正楷体_GBK"/>
                <w:color w:val="000000"/>
                <w:spacing w:val="-6"/>
                <w:sz w:val="22"/>
                <w:szCs w:val="22"/>
              </w:rPr>
            </w:pPr>
            <w:r>
              <w:rPr>
                <w:rFonts w:hint="eastAsia" w:ascii="方正楷体_GBK" w:hAnsi="方正楷体_GBK" w:eastAsia="方正楷体_GBK" w:cs="方正楷体_GBK"/>
                <w:color w:val="000000"/>
                <w:spacing w:val="-6"/>
                <w:kern w:val="0"/>
                <w:sz w:val="22"/>
                <w:szCs w:val="22"/>
                <w:lang w:bidi="ar"/>
              </w:rPr>
              <w:t>高标准深化职业教育评价改革  高质量推进西部职教基地建设——永川区职业教育评价改革案例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依托乡村学校少年宫，区域一体化推进学校优质均衡发展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重庆市北碚区水土小学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刘志国、黄莲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“学 · 教小助手”应用助力教育优质均衡发展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重庆市巴蜀小学校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张小琼、令狐林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重庆市沙坪坝区融合教育资源中心运作实践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重庆市沙坪坝区教委融合教育资源中心</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杜艾静、王兰、罗成龙、赵静思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“一强双优”多向发力，推动学前教育普及普惠优质发展——重庆市大渡口区推进学前教育普及普惠发展纪实</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重庆市大渡口区教育委员会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龚钛华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坚持砺新党建统领</w:t>
            </w:r>
            <w:r>
              <w:rPr>
                <w:rFonts w:hint="eastAsia" w:ascii="方正楷体_GBK" w:hAnsi="方正楷体_GBK" w:eastAsia="方正楷体_GBK" w:cs="方正楷体_GBK"/>
                <w:color w:val="000000"/>
                <w:kern w:val="0"/>
                <w:sz w:val="24"/>
                <w:lang w:bidi="ar"/>
              </w:rPr>
              <w:t xml:space="preserve">  </w:t>
            </w:r>
            <w:r>
              <w:rPr>
                <w:rFonts w:hint="eastAsia" w:ascii="方正楷体_GBK" w:hAnsi="方正楷体_GBK" w:eastAsia="方正楷体_GBK" w:cs="方正楷体_GBK"/>
                <w:color w:val="000000"/>
                <w:kern w:val="0"/>
                <w:sz w:val="22"/>
                <w:szCs w:val="22"/>
                <w:lang w:bidi="ar"/>
              </w:rPr>
              <w:t>落实思政教育“1+5”路径探析——以重庆市第十八中学砺新党建为例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重庆市第十八中学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罗丞、朱明伟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给乡村教师持久的温暖——江津区乡村教师队伍建设的路径与担当</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重庆市江津区教育委员会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蔡增灏、付烨、李祖秀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集团化办学推进城乡教育同步发展的实践与探索</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重庆市南川道南中学校</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黄小莉、谭扬权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抓实劳动教育  赋能五育融合——垫江县宝鼎小学“顶呱呱”劳动教育典型案例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垫江县宝鼎小学校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胡相兵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20</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培根铸魂，大美育人——大美育课程项目式学习的构建和实践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大足区龙岗第一小学</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21</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基于乡村振兴背景下校地企融合发展的探索与实践——以梁平职教中心陶然居产业学院助力石柱桥头镇为例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重庆市梁平职业教育中心</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何豹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22</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立足体育课程标准  构建以“体”育人模式——万州区特殊教育中心创新提高体育教学质量典型实践案例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重庆市万州区特殊教育中心</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杨晖、伍晓风、程琳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23</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用智慧的方法培育智慧的人——两江新区加快推进教育数字化转型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重庆两江新区教育局、重庆智慧教育创新中心</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李亭一、王冬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24</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基于“育才文化”的“1＋N”多彩课程体系建设——以重庆市大渡口区育才幼教集团为例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重庆市大渡口区育才幼儿园</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金娟、张宇、闫莉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25</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“三破三立”治理校外培训机构</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丰都县教育委员会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胡兴富、付鹏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26</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扎根山区急救 赋能乡村振兴  构建体系 育训结合 内外联动——重庆市酉阳职业教育中心急救教育探索与实践典型案例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w:t>
            </w:r>
            <w:r>
              <w:rPr>
                <w:rFonts w:hint="eastAsia" w:ascii="方正楷体_GBK" w:hAnsi="方正楷体_GBK" w:eastAsia="方正楷体_GBK" w:cs="方正楷体_GBK"/>
                <w:color w:val="000000"/>
                <w:kern w:val="0"/>
                <w:szCs w:val="21"/>
                <w:lang w:bidi="ar"/>
              </w:rPr>
              <w:t>酉阳职教中心</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杨登山、杨凡林、陈秋竹、张艳琼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27</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聚焦学校章程建设，全面推进依法治教</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重庆市梁平区教育委员会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常青、欧帮政、刘方卫、杜光财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28</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集团化办学模式下区域式教研促进集团教师教研能力协同发展的研究与实践案例——以重庆市江北中学优质教育集团为例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重庆市北碚区教师进修学院、重庆市江北中学校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徐发林、王照标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29</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“3+3”五彩博雅智慧教育创新实践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重庆两江新区博雅小学校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谢晓梅、黎胜利、冉妮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30</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“四步进阶”：集团教师专业发展培训路径探究——以重庆市渝中区人和街小学校为例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重庆市渝中区人和街小学校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粟佳、曹杨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31</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小学美育课程综合化实施的实践探索</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重庆市江北区新村实验小学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李青春、田桂诱、赵秋红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32</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五育共融合  劳育促成长——重庆市荣昌区峰高中心小学劳动教育实践经验</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重庆市荣昌区峰高中心小学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刘永红、段炼、张林伟、王樱蓉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33</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聚焦双减，聚力提质</w:t>
            </w:r>
            <w:r>
              <w:rPr>
                <w:rFonts w:hint="eastAsia" w:ascii="方正楷体_GBK" w:hAnsi="方正楷体_GBK" w:eastAsia="方正楷体_GBK" w:cs="方正楷体_GBK"/>
                <w:color w:val="000000"/>
                <w:kern w:val="0"/>
                <w:sz w:val="24"/>
                <w:lang w:bidi="ar"/>
              </w:rPr>
              <w:t xml:space="preserve"> </w:t>
            </w:r>
            <w:r>
              <w:rPr>
                <w:rFonts w:hint="eastAsia" w:ascii="方正楷体_GBK" w:hAnsi="方正楷体_GBK" w:eastAsia="方正楷体_GBK" w:cs="方正楷体_GBK"/>
                <w:color w:val="000000"/>
                <w:kern w:val="0"/>
                <w:sz w:val="22"/>
                <w:szCs w:val="22"/>
                <w:lang w:bidi="ar"/>
              </w:rPr>
              <w:t>努力办好人民满意的教育</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奉节县教育委员会、奉节县诗城路小学、奉节县永安小学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饶国平、李明才、杨晴、欧波梅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34</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党建领航打造家校社成长共同体  多维立体构建“五全育人”新生态——重庆市第一〇四中学2022年家校社协同育人典型案例</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重庆市第一〇四中学校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郑洪燊、张萍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35</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双减背景下的初中分层作业设计新范式</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云阳县第二初级中学</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贺自祥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36</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让生命在场：基于素养导向的课程质量评价</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重庆市巴南区鱼洞第二小学校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刘玉霞、张家勇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37</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数字教育赋能学生成长向未来——以评价为导向的教育数字化融合创新运用</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重庆市璧山区永嘉实验小学校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王坤俊、伍伟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38</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立体“对话”场  阅美儿童心</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重庆市北碚实验幼儿园</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汪清娅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39</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以校园音乐节为引擎，推进美育高质量发展</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大渡口区教育委员会</w:t>
            </w:r>
          </w:p>
        </w:tc>
        <w:tc>
          <w:tcPr>
            <w:tcW w:w="1850" w:type="dxa"/>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李长彬、潘娟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40</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创新集团化办学模式  打造产教融合升级版</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刘友林、杨山、朱先容、杨洪舒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41</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新时代区域学校艺术教育转型发展的探索与实践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开州区教师进修学校</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黄建新、李双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42</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基于“双减”背景下构建多部门协同办案工作机制的探索和实践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万盛经开区教育局</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蒋永强、何平、徐丹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43</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片区教研联盟助力小规模学校发展的实践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巫山县师范附属小学</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黄勇、尚魁燕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8" w:type="dxa"/>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44</w:t>
            </w:r>
          </w:p>
        </w:tc>
        <w:tc>
          <w:tcPr>
            <w:tcW w:w="4597"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梁平区校服管理模式的探索与实践</w:t>
            </w:r>
          </w:p>
        </w:tc>
        <w:tc>
          <w:tcPr>
            <w:tcW w:w="2125"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重庆市梁平区教育委员会</w:t>
            </w:r>
          </w:p>
        </w:tc>
        <w:tc>
          <w:tcPr>
            <w:tcW w:w="1850" w:type="dxa"/>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邓崇洪、孟卿</w:t>
            </w:r>
          </w:p>
        </w:tc>
      </w:tr>
    </w:tbl>
    <w:p>
      <w:pPr>
        <w:spacing w:line="20" w:lineRule="exact"/>
        <w:rPr>
          <w:vanish/>
        </w:rPr>
      </w:pPr>
    </w:p>
    <w:tbl>
      <w:tblPr>
        <w:tblStyle w:val="5"/>
        <w:tblpPr w:leftFromText="180" w:rightFromText="180" w:vertAnchor="text" w:horzAnchor="page" w:tblpX="1496" w:tblpY="57"/>
        <w:tblOverlap w:val="never"/>
        <w:tblW w:w="5000" w:type="pct"/>
        <w:tblInd w:w="0" w:type="dxa"/>
        <w:tblLayout w:type="fixed"/>
        <w:tblCellMar>
          <w:top w:w="0" w:type="dxa"/>
          <w:left w:w="108" w:type="dxa"/>
          <w:bottom w:w="0" w:type="dxa"/>
          <w:right w:w="108" w:type="dxa"/>
        </w:tblCellMar>
      </w:tblPr>
      <w:tblGrid>
        <w:gridCol w:w="771"/>
        <w:gridCol w:w="4844"/>
        <w:gridCol w:w="2068"/>
        <w:gridCol w:w="1547"/>
      </w:tblGrid>
      <w:tr>
        <w:tblPrEx>
          <w:tblCellMar>
            <w:top w:w="0" w:type="dxa"/>
            <w:left w:w="108" w:type="dxa"/>
            <w:bottom w:w="0" w:type="dxa"/>
            <w:right w:w="108" w:type="dxa"/>
          </w:tblCellMar>
        </w:tblPrEx>
        <w:trPr>
          <w:trHeight w:val="41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adjustRightInd w:val="0"/>
              <w:snapToGrid w:val="0"/>
              <w:jc w:val="center"/>
              <w:textAlignment w:val="center"/>
              <w:rPr>
                <w:rFonts w:ascii="方正黑体_GBK" w:hAnsi="方正黑体_GBK" w:eastAsia="方正黑体_GBK" w:cs="方正黑体_GBK"/>
                <w:color w:val="000000"/>
                <w:kern w:val="0"/>
                <w:sz w:val="32"/>
                <w:szCs w:val="32"/>
                <w:lang w:bidi="ar"/>
              </w:rPr>
            </w:pPr>
            <w:r>
              <w:rPr>
                <w:rFonts w:hint="eastAsia" w:ascii="方正黑体_GBK" w:hAnsi="方正黑体_GBK" w:eastAsia="方正黑体_GBK" w:cs="方正黑体_GBK"/>
                <w:color w:val="000000"/>
                <w:kern w:val="0"/>
                <w:sz w:val="32"/>
                <w:szCs w:val="32"/>
                <w:lang w:bidi="ar"/>
              </w:rPr>
              <w:t>咨政报告组</w:t>
            </w:r>
          </w:p>
        </w:tc>
      </w:tr>
      <w:tr>
        <w:tblPrEx>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kern w:val="0"/>
                <w:sz w:val="32"/>
                <w:szCs w:val="32"/>
                <w:lang w:bidi="ar"/>
              </w:rPr>
              <w:t>一等奖</w:t>
            </w:r>
          </w:p>
        </w:tc>
      </w:tr>
      <w:tr>
        <w:tblPrEx>
          <w:tblCellMar>
            <w:top w:w="0" w:type="dxa"/>
            <w:left w:w="108" w:type="dxa"/>
            <w:bottom w:w="0" w:type="dxa"/>
            <w:right w:w="108" w:type="dxa"/>
          </w:tblCellMar>
        </w:tblPrEx>
        <w:trPr>
          <w:trHeight w:val="364"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中西部高等教育振兴的现实困境及对策建议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重庆市教育科学研究院、重庆两江新区教育发展研究院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王华、尹浪</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推进成渝地区双城经济圈高等教育协同发展的对策建议</w:t>
            </w:r>
          </w:p>
        </w:tc>
        <w:tc>
          <w:tcPr>
            <w:tcW w:w="1120"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四川外国语大学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林川、徐新鹏、翟浩淼、高福霞</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基于学分银行改革非学历教育成果评价的建议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重庆市两江职业教育中心</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李霞、唐亚南</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加强中小学劳动课程实施的建议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重庆市教育科学研究院</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赵文朝</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人口负增长下学前教育发展的对策建议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九龙坡区教师进修学院学前教育研究中心</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张小晓、刘鋆、谢朝中、汪世君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关于进一步提升我市校外培训治理效能的建议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重庆邮电大学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文金、曹华、赵伟、杨艳辉</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推进学校自我评价建设的政策建议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重庆市教育评估院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吴传燕、梅永鲜、冯友余</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强规划 调结构 注协同 重衔接  推动我市本科师范院校师范生培养高质量发展的相关建议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重庆第二师范学院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张艳、李学容、田振华、魏显勇</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关于科学推进我市中小学国防教育的对策建议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重庆科学院白市驿第二小学校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潘德梁、高婷、陈瑶、张真臻</w:t>
            </w:r>
          </w:p>
        </w:tc>
      </w:tr>
      <w:tr>
        <w:tblPrEx>
          <w:tblCellMar>
            <w:top w:w="0" w:type="dxa"/>
            <w:left w:w="108" w:type="dxa"/>
            <w:bottom w:w="0" w:type="dxa"/>
            <w:right w:w="108" w:type="dxa"/>
          </w:tblCellMar>
        </w:tblPrEx>
        <w:trPr>
          <w:trHeight w:val="43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32"/>
                <w:szCs w:val="32"/>
              </w:rPr>
            </w:pPr>
            <w:r>
              <w:rPr>
                <w:rFonts w:hint="eastAsia" w:ascii="方正楷体_GBK" w:hAnsi="方正楷体_GBK" w:eastAsia="方正楷体_GBK" w:cs="方正楷体_GBK"/>
                <w:b/>
                <w:color w:val="000000"/>
                <w:kern w:val="0"/>
                <w:sz w:val="32"/>
                <w:szCs w:val="32"/>
                <w:lang w:bidi="ar"/>
              </w:rPr>
              <w:t>二等奖</w:t>
            </w:r>
          </w:p>
        </w:tc>
      </w:tr>
      <w:tr>
        <w:tblPrEx>
          <w:tblCellMar>
            <w:top w:w="0" w:type="dxa"/>
            <w:left w:w="108" w:type="dxa"/>
            <w:bottom w:w="0" w:type="dxa"/>
            <w:right w:w="108" w:type="dxa"/>
          </w:tblCellMar>
        </w:tblPrEx>
        <w:trPr>
          <w:trHeight w:val="401"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关于促进成渝地区双城经济圈“产城教”融合发展的高等教育改革四大建议</w:t>
            </w:r>
          </w:p>
        </w:tc>
        <w:tc>
          <w:tcPr>
            <w:tcW w:w="1120"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四川外国语大学</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肖前玲</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推进重庆高等教育高水平对外开放的建议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王平、冉戎</w:t>
            </w:r>
            <w:r>
              <w:rPr>
                <w:rFonts w:hint="eastAsia" w:ascii="方正楷体_GBK" w:hAnsi="方正楷体_GBK" w:eastAsia="方正楷体_GBK" w:cs="方正楷体_GBK"/>
                <w:color w:val="000000"/>
                <w:kern w:val="0"/>
                <w:sz w:val="22"/>
                <w:szCs w:val="22"/>
                <w:lang w:bidi="ar"/>
              </w:rPr>
              <w:br w:type="textWrapping"/>
            </w:r>
            <w:r>
              <w:rPr>
                <w:rFonts w:hint="eastAsia" w:ascii="方正楷体_GBK" w:hAnsi="方正楷体_GBK" w:eastAsia="方正楷体_GBK" w:cs="方正楷体_GBK"/>
                <w:color w:val="000000"/>
                <w:kern w:val="0"/>
                <w:sz w:val="22"/>
                <w:szCs w:val="22"/>
                <w:lang w:bidi="ar"/>
              </w:rPr>
              <w:t>、高春、张国宾</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推进成渝地区双城经济圈教育协同发展的建议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罗生全、随国栋</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高质量发展背景下优化义务教育学位供给的对策建议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重庆市教育科学研究院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陈鹏磊、黎聚才、钟儒成</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发展义教素质教育亟需地方第三方评估的建议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开州区教师进修学校</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余米曲</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构建一心两园三院新格局 助推巫山职业教育高质量发展建议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巫山县职业教育中心</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刘伟、许先文、李垒、姚妮</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重庆大学生创新创业的主要问题及对策建议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重庆交通大学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童隆、王昕、李胡轩</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重庆高职教育赋能乡村振兴的思考与建议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重庆水利电力职业技术学院 </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文武全、唐蕾</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加快高校科技成果高质量转化的对策建议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重庆邮电大学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程桂龙</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关于破立并举深化督导改革效能的建议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重庆市梁平区教育委员会</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刘晓义</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重庆市属高校“双一流”建设高质量发展的建议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冉戎、王平、龙少波、张国宾、司雯</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重庆引进海外高层次人才的建议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王伟</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乡村人才振兴要警惕学校教育各学段“离农化”</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重庆文理学院、重庆市永川区红旗小学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彭万勇、王竞一、袁世容</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重庆教育数字化转型战略实施建议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重庆市教育信息技术与装备中心</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罗永星、何易立、余跃</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重庆“教育强市与教育强县一体化建设”战略建议——基于酉阳教育强县建设的思考</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酉阳土家族苗族自治县教育委员会</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唐培根</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关于促进高校劳动教育教师队伍专业化建设的建议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石定芳</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关于加快推进重庆高等职业教育数字化转型的对策建议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重庆工程职业技术学院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陈美志、何易立</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关于建立义务教育阶段教师区域内有序流动机制的建议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重庆市荣昌区教育委员会</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李刚、韩洪梅、李德剑、黄月</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重庆红色资源与中小学思政教育的融合路径建议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永川区何埂溉教管中心</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李静</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新时代高校美育建设的思考</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西南政法大学 </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卿婕</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重庆职业教育督导评估体系建设的问题分析及对策建议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重庆市教育评估院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黄承国、谢龙建、杨海山、吕小斌</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伟大建党精神融入大学生思想政治教育工作的五点建议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重庆邮电大学、重庆师范大学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杜斌、杜巧</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关于加快提升我市初中生英语听说能力的对策建议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重庆市教育科学研究院、重庆两江新区星光学校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陈春晖、刘军、吴乐乐、彭小珊</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学校家庭社会协同育人的现实困境与突破建议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重庆市巴南区教师进修学校</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周小均</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关于中小学生生命教育的咨政报告</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丰都县琢成学校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蒋涵</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关于建设我市虚拟教研室基层教学组织的建议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陈旭、王攀娜</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重庆乡村义务教育发展咨政报告</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重庆市教育评估院、重庆市教委基础教育处</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梅永鲜、杨映梅、胡方、汪华凌</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关于支持重庆市推进教育评价对外开放  服务教育制度型开放的政策建议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重庆市教育评估院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田海林、周师宇、乐巧仪</w:t>
            </w:r>
          </w:p>
        </w:tc>
      </w:tr>
      <w:tr>
        <w:tblPrEx>
          <w:tblCellMar>
            <w:top w:w="0" w:type="dxa"/>
            <w:left w:w="108" w:type="dxa"/>
            <w:bottom w:w="0" w:type="dxa"/>
            <w:right w:w="108" w:type="dxa"/>
          </w:tblCellMar>
        </w:tblPrEx>
        <w:trPr>
          <w:trHeight w:val="53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36"/>
                <w:szCs w:val="36"/>
              </w:rPr>
            </w:pPr>
            <w:r>
              <w:rPr>
                <w:rFonts w:hint="eastAsia" w:ascii="方正楷体_GBK" w:hAnsi="方正楷体_GBK" w:eastAsia="方正楷体_GBK" w:cs="方正楷体_GBK"/>
                <w:b/>
                <w:color w:val="000000"/>
                <w:kern w:val="0"/>
                <w:sz w:val="32"/>
                <w:szCs w:val="32"/>
                <w:lang w:bidi="ar"/>
              </w:rPr>
              <w:t>三等奖</w:t>
            </w:r>
          </w:p>
        </w:tc>
      </w:tr>
      <w:tr>
        <w:tblPrEx>
          <w:tblCellMar>
            <w:top w:w="0" w:type="dxa"/>
            <w:left w:w="108" w:type="dxa"/>
            <w:bottom w:w="0" w:type="dxa"/>
            <w:right w:w="108" w:type="dxa"/>
          </w:tblCellMar>
        </w:tblPrEx>
        <w:trPr>
          <w:trHeight w:val="457"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序号</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标题</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单位</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方正楷体_GBK" w:hAnsi="方正楷体_GBK" w:eastAsia="方正楷体_GBK" w:cs="方正楷体_GBK"/>
                <w:b/>
                <w:color w:val="000000"/>
                <w:sz w:val="22"/>
                <w:szCs w:val="22"/>
              </w:rPr>
            </w:pPr>
            <w:r>
              <w:rPr>
                <w:rFonts w:hint="eastAsia" w:ascii="方正楷体_GBK" w:hAnsi="方正楷体_GBK" w:eastAsia="方正楷体_GBK" w:cs="方正楷体_GBK"/>
                <w:b/>
                <w:color w:val="000000"/>
                <w:kern w:val="0"/>
                <w:sz w:val="22"/>
                <w:szCs w:val="22"/>
                <w:lang w:bidi="ar"/>
              </w:rPr>
              <w:t>作者</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关于推进集团化办学促进“双减”背景下义务教育优质均衡发展的建议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重庆高新区公共服务局</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王英伦、付有能、肖力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推动“一区两群”职业教育协同发展机制的几点建议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重庆工业职业技术学院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郭天平、陈磊</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聚力资源配置  实现优教强区——永川区“双创”工作建议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永川区教育委员会</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中意</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关于加大高等教育“双碳”学科培育力度的建议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李东生、王文涛、曹丹丹</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关于落实国家“医教协同医学教育”改革政策  加强高校直属附属医院建设的建议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重庆三峡医药高等专科学校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孙萍</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关于构建五位一体未成年人心理健康服务体系的建议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重庆市璧山来凤中学校</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王益乾</w:t>
            </w:r>
          </w:p>
        </w:tc>
      </w:tr>
      <w:tr>
        <w:tblPrEx>
          <w:tblCellMar>
            <w:top w:w="0" w:type="dxa"/>
            <w:left w:w="108" w:type="dxa"/>
            <w:bottom w:w="0" w:type="dxa"/>
            <w:right w:w="108" w:type="dxa"/>
          </w:tblCellMar>
        </w:tblPrEx>
        <w:trPr>
          <w:trHeight w:val="900"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让孩子在家门口享受优质教育——关于酉阳乡村教育振兴的思考</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Style w:val="18"/>
                <w:rFonts w:hint="default" w:ascii="方正楷体_GBK" w:hAnsi="方正楷体_GBK" w:eastAsia="方正楷体_GBK" w:cs="方正楷体_GBK"/>
                <w:lang w:bidi="ar"/>
              </w:rPr>
              <w:t>酉阳</w:t>
            </w:r>
            <w:r>
              <w:rPr>
                <w:rFonts w:hint="eastAsia" w:ascii="方正楷体_GBK" w:hAnsi="方正楷体_GBK" w:eastAsia="方正楷体_GBK" w:cs="方正楷体_GBK"/>
                <w:color w:val="000000"/>
                <w:kern w:val="0"/>
                <w:szCs w:val="21"/>
                <w:lang w:bidi="ar"/>
              </w:rPr>
              <w:t>土家族苗族自治县教育委员会；酉阳土家族苗族自治县实验小学校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董俊玲、黄艳琼</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重庆高校产教融合创新中存在的问题及对策建议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龙少波、冉戎、罗玉洁</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重庆市高职院校产教融合赋能乡村振兴战略存在的问题与建议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重庆轻工职业学院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郝结林、高云、夏霜</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关于重庆市职业院校学生实习管理工作的几点建议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重庆市教育科学研究院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张俊生、方芳、胡彦</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关于我市区（县）域推进教育现代化建设的对策建议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重庆市荣昌区教师进修学校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余晓堰、叶伟虹、袁志琼、贾伟</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破除职业教育跨区域集群化发展“梗阻”的建议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永川区职业教育中心</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邹有奇</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关于提升我市高职院校师资队伍建设的几点建议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重庆财经职业学院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李永烩、杨克毅、胡志建</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“双减”背景下义务教育从“应试”到“应赛”演变的危害及策略</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重庆市荣昌区宝城初级中学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兰立飞、郭霞、罗文武</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关于深化义务教育“双减”工作的建议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丰都县实验中学校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朱原、杨小庆</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加强“艺术+科技”人才培养 促进新时代新文科建设的建议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四川美术学院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李敏敏、李丰</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在新时代教育评价改革背景下高职院校职称评审改革的对策及建议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重庆化工职业学院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郭旭、熊凤</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技能型社会建设背景下加快我市“智能+技能”数字技能人才培养的建议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 xml:space="preserve">重庆五一职业技术学院  </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技能型社会课题组</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19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关于加强重庆市中小学生心理健康教育工作的建议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秀山县第一中学校</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阚军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推进我市职业教育高质量发展的五点建议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重庆财经职业学院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胡志建、苏琴、杨克毅、李永烩</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关于加强我市小学科学教师队伍建设的建议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Style w:val="18"/>
                <w:rFonts w:hint="default" w:ascii="方正楷体_GBK" w:hAnsi="方正楷体_GBK" w:eastAsia="方正楷体_GBK" w:cs="方正楷体_GBK"/>
                <w:lang w:bidi="ar"/>
              </w:rPr>
              <w:t>重庆</w:t>
            </w:r>
            <w:r>
              <w:rPr>
                <w:rFonts w:hint="eastAsia" w:ascii="方正楷体_GBK" w:hAnsi="方正楷体_GBK" w:eastAsia="方正楷体_GBK" w:cs="方正楷体_GBK"/>
                <w:color w:val="000000"/>
                <w:kern w:val="0"/>
                <w:sz w:val="22"/>
                <w:szCs w:val="22"/>
                <w:lang w:bidi="ar"/>
              </w:rPr>
              <w:t>师范大学、重庆市教育科学研究院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林长春、邵发仙</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关于重庆市地方高校对高层次人才“引进来，留得住，用得上”的几点建议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重庆工商大学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刘成晨、王诚楠、刘创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关于加强重庆市职业教育产教融合激励政策制度设计的建议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重庆开放大学 重庆工商职业学院</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张培</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关于加快“委区共建”推进职业教育产教融合工作的对策建议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九龙坡区教育委员会</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王欢、刘鋆、申思为、傅钰涵</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关于通过集团化办学破解农村小规模学校发展瓶颈的建议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重庆市南川区教育委员会</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唐绪龙、何树林</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区域内高校大规模在线教学现状及对策建议——以重庆为例</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重庆市教育信息技术与装备中心</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姚友明、郑州、张琦、赵永兰</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关于“恢复和支持职业院校举办涉农专业，培养专业人才服务和助推乡村振兴”的建议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重庆市江南职业学校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陈卫红、朱云富、李利佳</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关于优化退役士兵学历提升教育的对策建议——以重庆市为例</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重庆市人民武装学院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陈丽娟、尹戎、薛杰、向瑛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29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深化现代职教体系改革 统筹三教协同创新发展的建议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重庆市立信职业教育中心</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蒋红梅</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以新型举市体制有组织推进重庆市高校“双一流”建设的建议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重庆交通大学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宋军</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重庆职业教育助力乡村振兴劳务品牌建设的对策建议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重庆城市管理职业学院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孙鑫、安小风、孙元忠、谢育玲</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重庆市高等职业院校助力乡村振兴的现状、问题与对策</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重庆城市职业学院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罗伟、韩永光、彭靖</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区域中小学心理健康教育整体推进策略的建议——以垫江县整体推进中小学心理健康教育工作为例</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垫江县教师进修学校</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王明月</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关于提升重庆五年制学前教育公费师范生培养质量的建议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重庆文化艺术职业学院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周婷婷、罗菊红、刘文静</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35</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中小学教师师德建设的问题及对策——以重庆市南川区师德建设调研为例</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南川电大进修校</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杨波、黎富志、孙乐娜、杨瑾琳</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推进学前教育普及普惠优质发展的对策建议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重庆市璧山区教育委员会</w:t>
            </w:r>
          </w:p>
        </w:tc>
        <w:tc>
          <w:tcPr>
            <w:tcW w:w="836"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姜铁兵</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37</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初中思政课教育质量全面提升策略建议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奉节县实验初中</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卢国才、张卫东、张世明</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38</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高职构建现代产业学院路径和机制对策建议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重庆理工职业学院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秦凤梅、杜鹃</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39</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关于乡村教育振兴基本策略的建议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重庆市铜梁区教育委员会</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叶贻喜</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40</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一体化建设重庆市“一校一品”英模教育示范校的四点建议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长江师范学院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曾昂</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41</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我市思政课教师队伍建设存在的问题及对策建议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西南大学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王丰</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42</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加强教育行政执法  以法为基构建良好教育生态的建议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沙坪坝区教育委员会</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杨民、朱赛梅</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43</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关于促进我市高等职业教育高质量发展的建议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重庆青年职业技术学院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唐仁娟、杨璐</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44</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关于构建“1+1+N”职普融通特色模式 推进区域职普融通协同实施路径的建议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重庆市龙门浩职业中学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钟代文、李琦、申智</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45</w:t>
            </w:r>
          </w:p>
        </w:tc>
        <w:tc>
          <w:tcPr>
            <w:tcW w:w="2624"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团教协作推进初中党团队一体化育人链接的对策建议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重庆八中宏帆初级中学</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刘剑平、黄娟、唐棠、孙颖</w:t>
            </w:r>
          </w:p>
        </w:tc>
      </w:tr>
      <w:tr>
        <w:tblPrEx>
          <w:tblCellMar>
            <w:top w:w="0" w:type="dxa"/>
            <w:left w:w="108" w:type="dxa"/>
            <w:bottom w:w="0" w:type="dxa"/>
            <w:right w:w="108" w:type="dxa"/>
          </w:tblCellMar>
        </w:tblPrEx>
        <w:trPr>
          <w:trHeight w:val="702" w:hRule="atLeast"/>
        </w:trPr>
        <w:tc>
          <w:tcPr>
            <w:tcW w:w="418"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46</w:t>
            </w:r>
          </w:p>
        </w:tc>
        <w:tc>
          <w:tcPr>
            <w:tcW w:w="2624"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关于推进我市幼小衔接高质量协同发展的调查及建议</w:t>
            </w:r>
          </w:p>
        </w:tc>
        <w:tc>
          <w:tcPr>
            <w:tcW w:w="112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重庆第二师范学院</w:t>
            </w:r>
          </w:p>
        </w:tc>
        <w:tc>
          <w:tcPr>
            <w:tcW w:w="83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方正楷体_GBK" w:hAnsi="方正楷体_GBK" w:eastAsia="方正楷体_GBK" w:cs="方正楷体_GBK"/>
                <w:color w:val="000000"/>
                <w:sz w:val="22"/>
                <w:szCs w:val="22"/>
              </w:rPr>
            </w:pPr>
            <w:r>
              <w:rPr>
                <w:rFonts w:hint="eastAsia" w:ascii="方正楷体_GBK" w:hAnsi="方正楷体_GBK" w:eastAsia="方正楷体_GBK" w:cs="方正楷体_GBK"/>
                <w:color w:val="000000"/>
                <w:kern w:val="0"/>
                <w:sz w:val="22"/>
                <w:szCs w:val="22"/>
                <w:lang w:bidi="ar"/>
              </w:rPr>
              <w:t>刘建虹、张家琼、胡红梅、孙卫</w:t>
            </w:r>
          </w:p>
        </w:tc>
      </w:tr>
    </w:tbl>
    <w:p>
      <w:pPr>
        <w:spacing w:line="600" w:lineRule="exact"/>
        <w:rPr>
          <w:rFonts w:ascii="Times New Roman" w:hAnsi="Times New Roman" w:eastAsia="方正小标宋_GBK"/>
          <w:sz w:val="44"/>
          <w:szCs w:val="44"/>
        </w:rPr>
      </w:pPr>
    </w:p>
    <w:p>
      <w:pPr>
        <w:spacing w:line="600" w:lineRule="exact"/>
        <w:jc w:val="center"/>
        <w:rPr>
          <w:rFonts w:ascii="Times New Roman" w:hAnsi="Times New Roman" w:eastAsia="方正小标宋_GBK"/>
          <w:sz w:val="44"/>
          <w:szCs w:val="44"/>
        </w:rPr>
      </w:pPr>
    </w:p>
    <w:p/>
    <w:sectPr>
      <w:footerReference r:id="rId5" w:type="first"/>
      <w:footerReference r:id="rId3" w:type="default"/>
      <w:footerReference r:id="rId4" w:type="even"/>
      <w:pgSz w:w="11906" w:h="16838"/>
      <w:pgMar w:top="1985" w:right="1446" w:bottom="1644" w:left="1446" w:header="851" w:footer="1247" w:gutter="0"/>
      <w:pgNumType w:fmt="numberInDash"/>
      <w:cols w:space="720" w:num="1"/>
      <w:titlePg/>
      <w:docGrid w:linePitch="600" w:charSpace="229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90101010101"/>
    <w:charset w:val="86"/>
    <w:family w:val="auto"/>
    <w:pitch w:val="default"/>
    <w:sig w:usb0="800002BF" w:usb1="38CF7CFA" w:usb2="00000016" w:usb3="00000000" w:csb0="6016019D" w:csb1="D3F7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15 -</w:t>
    </w:r>
    <w:r>
      <w:rPr>
        <w:rFonts w:ascii="宋体" w:hAnsi="宋体"/>
        <w:sz w:val="28"/>
        <w:szCs w:val="28"/>
      </w:rPr>
      <w:fldChar w:fldCharType="end"/>
    </w:r>
    <w:r>
      <w:rPr>
        <w:rFonts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16 -</w:t>
    </w:r>
    <w:r>
      <w:rPr>
        <w:rFonts w:ascii="宋体" w:hAnsi="宋体"/>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280" w:firstLineChars="100"/>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true"/>
  <w:bordersDoNotSurroundHeader w:val="true"/>
  <w:bordersDoNotSurroundFooter w:val="true"/>
  <w:doNotTrackMoves/>
  <w:documentProtection w:edit="readOnly" w:enforcement="0"/>
  <w:defaultTabStop w:val="420"/>
  <w:evenAndOddHeaders w:val="true"/>
  <w:drawingGridVerticalSpacing w:val="156"/>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202.202.16.21:80/seeyon/officeservlet"/>
  </w:docVars>
  <w:rsids>
    <w:rsidRoot w:val="00476C89"/>
    <w:rsid w:val="00315FF0"/>
    <w:rsid w:val="003B31B1"/>
    <w:rsid w:val="00476C89"/>
    <w:rsid w:val="004A3621"/>
    <w:rsid w:val="0064105C"/>
    <w:rsid w:val="0070277F"/>
    <w:rsid w:val="007F6A18"/>
    <w:rsid w:val="008E1B3D"/>
    <w:rsid w:val="00905A9E"/>
    <w:rsid w:val="00F73B3A"/>
    <w:rsid w:val="00FA0751"/>
    <w:rsid w:val="00FF6A33"/>
    <w:rsid w:val="179BD2BE"/>
    <w:rsid w:val="2D575404"/>
    <w:rsid w:val="37F6F65F"/>
    <w:rsid w:val="3BFF8509"/>
    <w:rsid w:val="3EAB0813"/>
    <w:rsid w:val="3F8B951E"/>
    <w:rsid w:val="3F8F397A"/>
    <w:rsid w:val="4E7F6C7E"/>
    <w:rsid w:val="5FCBA18E"/>
    <w:rsid w:val="5FDA7CBB"/>
    <w:rsid w:val="66172B24"/>
    <w:rsid w:val="6BDD46E9"/>
    <w:rsid w:val="6EDEF6DC"/>
    <w:rsid w:val="6EF5ADFB"/>
    <w:rsid w:val="77BB9916"/>
    <w:rsid w:val="7B1367F2"/>
    <w:rsid w:val="7B6E2487"/>
    <w:rsid w:val="7DFDB228"/>
    <w:rsid w:val="7FBFFB3B"/>
    <w:rsid w:val="7FFE662D"/>
    <w:rsid w:val="93F7E4D7"/>
    <w:rsid w:val="AFFF1F01"/>
    <w:rsid w:val="B7DF0B00"/>
    <w:rsid w:val="BFC74248"/>
    <w:rsid w:val="D3EB8115"/>
    <w:rsid w:val="DEEF4B3A"/>
    <w:rsid w:val="EF9DA51A"/>
    <w:rsid w:val="EFFDAAA6"/>
    <w:rsid w:val="EFFE15F6"/>
    <w:rsid w:val="F26AF88C"/>
    <w:rsid w:val="F3A1AE21"/>
    <w:rsid w:val="F77F32DA"/>
    <w:rsid w:val="F9FF1838"/>
    <w:rsid w:val="FD7F1DF5"/>
    <w:rsid w:val="FFC7F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7"/>
    <w:qFormat/>
    <w:uiPriority w:val="0"/>
    <w:rPr>
      <w:sz w:val="18"/>
      <w:szCs w:val="18"/>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批注框文本 字符"/>
    <w:link w:val="2"/>
    <w:qFormat/>
    <w:uiPriority w:val="0"/>
    <w:rPr>
      <w:rFonts w:ascii="Calibri" w:hAnsi="Calibri"/>
      <w:kern w:val="2"/>
      <w:sz w:val="18"/>
      <w:szCs w:val="18"/>
    </w:rPr>
  </w:style>
  <w:style w:type="character" w:customStyle="1" w:styleId="8">
    <w:name w:val="页脚 字符"/>
    <w:link w:val="3"/>
    <w:qFormat/>
    <w:uiPriority w:val="99"/>
    <w:rPr>
      <w:rFonts w:ascii="Calibri" w:hAnsi="Calibri"/>
      <w:kern w:val="2"/>
      <w:sz w:val="18"/>
      <w:szCs w:val="18"/>
    </w:rPr>
  </w:style>
  <w:style w:type="character" w:customStyle="1" w:styleId="9">
    <w:name w:val="页眉 字符"/>
    <w:link w:val="4"/>
    <w:qFormat/>
    <w:uiPriority w:val="0"/>
    <w:rPr>
      <w:rFonts w:ascii="Calibri" w:hAnsi="Calibri"/>
      <w:kern w:val="2"/>
      <w:sz w:val="18"/>
      <w:szCs w:val="18"/>
    </w:rPr>
  </w:style>
  <w:style w:type="character" w:customStyle="1" w:styleId="10">
    <w:name w:val="font41"/>
    <w:qFormat/>
    <w:uiPriority w:val="0"/>
    <w:rPr>
      <w:rFonts w:hint="default" w:ascii="等线" w:hAnsi="等线" w:eastAsia="等线" w:cs="等线"/>
      <w:color w:val="000000"/>
      <w:sz w:val="22"/>
      <w:szCs w:val="22"/>
      <w:u w:val="none"/>
    </w:rPr>
  </w:style>
  <w:style w:type="character" w:customStyle="1" w:styleId="11">
    <w:name w:val="font01"/>
    <w:qFormat/>
    <w:uiPriority w:val="0"/>
    <w:rPr>
      <w:rFonts w:hint="default" w:ascii="等线" w:hAnsi="等线" w:eastAsia="等线" w:cs="等线"/>
      <w:color w:val="000000"/>
      <w:sz w:val="22"/>
      <w:szCs w:val="22"/>
      <w:u w:val="none"/>
    </w:rPr>
  </w:style>
  <w:style w:type="character" w:customStyle="1" w:styleId="12">
    <w:name w:val="font31"/>
    <w:qFormat/>
    <w:uiPriority w:val="0"/>
    <w:rPr>
      <w:rFonts w:hint="default" w:ascii="等线" w:hAnsi="等线" w:eastAsia="等线" w:cs="等线"/>
      <w:color w:val="000000"/>
      <w:sz w:val="22"/>
      <w:szCs w:val="22"/>
      <w:u w:val="none"/>
    </w:rPr>
  </w:style>
  <w:style w:type="character" w:customStyle="1" w:styleId="13">
    <w:name w:val="font21"/>
    <w:qFormat/>
    <w:uiPriority w:val="0"/>
    <w:rPr>
      <w:rFonts w:hint="eastAsia" w:ascii="宋体" w:hAnsi="宋体" w:eastAsia="宋体" w:cs="宋体"/>
      <w:color w:val="000000"/>
      <w:sz w:val="22"/>
      <w:szCs w:val="22"/>
      <w:u w:val="none"/>
    </w:rPr>
  </w:style>
  <w:style w:type="character" w:customStyle="1" w:styleId="14">
    <w:name w:val="font81"/>
    <w:qFormat/>
    <w:uiPriority w:val="0"/>
    <w:rPr>
      <w:rFonts w:hint="eastAsia" w:ascii="宋体" w:hAnsi="宋体" w:eastAsia="宋体" w:cs="宋体"/>
      <w:color w:val="000000"/>
      <w:sz w:val="22"/>
      <w:szCs w:val="22"/>
      <w:u w:val="none"/>
    </w:rPr>
  </w:style>
  <w:style w:type="character" w:customStyle="1" w:styleId="15">
    <w:name w:val="font71"/>
    <w:qFormat/>
    <w:uiPriority w:val="0"/>
    <w:rPr>
      <w:rFonts w:hint="eastAsia" w:ascii="宋体" w:hAnsi="宋体" w:eastAsia="宋体" w:cs="宋体"/>
      <w:color w:val="000000"/>
      <w:sz w:val="24"/>
      <w:szCs w:val="24"/>
      <w:u w:val="none"/>
    </w:rPr>
  </w:style>
  <w:style w:type="character" w:customStyle="1" w:styleId="16">
    <w:name w:val="font11"/>
    <w:qFormat/>
    <w:uiPriority w:val="0"/>
    <w:rPr>
      <w:rFonts w:hint="eastAsia" w:ascii="宋体" w:hAnsi="宋体" w:eastAsia="宋体" w:cs="宋体"/>
      <w:color w:val="000000"/>
      <w:sz w:val="21"/>
      <w:szCs w:val="21"/>
      <w:u w:val="none"/>
    </w:rPr>
  </w:style>
  <w:style w:type="character" w:customStyle="1" w:styleId="17">
    <w:name w:val="font91"/>
    <w:qFormat/>
    <w:uiPriority w:val="0"/>
    <w:rPr>
      <w:rFonts w:hint="eastAsia" w:ascii="宋体" w:hAnsi="宋体" w:eastAsia="宋体" w:cs="宋体"/>
      <w:color w:val="000000"/>
      <w:sz w:val="22"/>
      <w:szCs w:val="22"/>
      <w:u w:val="none"/>
    </w:rPr>
  </w:style>
  <w:style w:type="character" w:customStyle="1" w:styleId="18">
    <w:name w:val="font5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Pages>
  <Words>1790</Words>
  <Characters>10205</Characters>
  <Lines>85</Lines>
  <Paragraphs>23</Paragraphs>
  <TotalTime>2</TotalTime>
  <ScaleCrop>false</ScaleCrop>
  <LinksUpToDate>false</LinksUpToDate>
  <CharactersWithSpaces>11972</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2023-07-17T17:34:00Z</dcterms:created>
  <dc:creator>Administrator</dc:creator>
  <cp:lastModifiedBy>sugon</cp:lastModifiedBy>
  <cp:lastPrinted>2023-07-17T17:34:00Z</cp:lastPrinted>
  <dcterms:modified xsi:type="dcterms:W3CDTF">2023-07-17T15:04:57Z</dcterms:modified>
  <dc:title>2021年重庆教育发展报告典型案例及</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