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both"/>
        <w:rPr>
          <w:rFonts w:hint="default" w:ascii="方正黑体_GBK" w:hAnsi="方正黑体_GBK" w:eastAsia="方正黑体_GBK" w:cs="方正黑体_GBK"/>
          <w:snapToGrid w:val="0"/>
          <w:color w:val="000000"/>
          <w:sz w:val="32"/>
          <w:szCs w:val="32"/>
          <w:lang w:val="en-US" w:eastAsia="zh-CN"/>
        </w:rPr>
      </w:pPr>
      <w:bookmarkStart w:id="0" w:name="_GoBack"/>
      <w:bookmarkEnd w:id="0"/>
      <w:r>
        <w:rPr>
          <w:rFonts w:hint="eastAsia" w:ascii="方正黑体_GBK" w:hAnsi="方正黑体_GBK" w:eastAsia="方正黑体_GBK" w:cs="方正黑体_GBK"/>
          <w:snapToGrid w:val="0"/>
          <w:color w:val="000000"/>
          <w:sz w:val="32"/>
          <w:szCs w:val="32"/>
          <w:lang w:val="en-US" w:eastAsia="zh-CN"/>
        </w:rPr>
        <w:t>附件</w:t>
      </w:r>
    </w:p>
    <w:p>
      <w:pPr>
        <w:spacing w:line="600" w:lineRule="exact"/>
        <w:jc w:val="both"/>
        <w:rPr>
          <w:rFonts w:hint="eastAsia" w:ascii="方正小标宋_GBK" w:hAnsi="方正小标宋_GBK" w:eastAsia="方正小标宋_GBK" w:cs="方正小标宋_GBK"/>
          <w:snapToGrid w:val="0"/>
          <w:color w:val="000000"/>
          <w:sz w:val="44"/>
          <w:szCs w:val="44"/>
        </w:rPr>
      </w:pPr>
    </w:p>
    <w:p>
      <w:pPr>
        <w:spacing w:line="600" w:lineRule="exact"/>
        <w:jc w:val="center"/>
        <w:rPr>
          <w:rFonts w:hint="eastAsia" w:ascii="方正小标宋_GBK" w:hAnsi="方正小标宋_GBK" w:eastAsia="方正小标宋_GBK" w:cs="方正小标宋_GBK"/>
          <w:snapToGrid w:val="0"/>
          <w:color w:val="000000"/>
          <w:sz w:val="44"/>
          <w:szCs w:val="44"/>
        </w:rPr>
      </w:pPr>
      <w:r>
        <w:rPr>
          <w:rFonts w:hint="eastAsia" w:ascii="方正小标宋_GBK" w:hAnsi="方正小标宋_GBK" w:eastAsia="方正小标宋_GBK" w:cs="方正小标宋_GBK"/>
          <w:snapToGrid w:val="0"/>
          <w:color w:val="000000"/>
          <w:sz w:val="44"/>
          <w:szCs w:val="44"/>
        </w:rPr>
        <w:t>学习习近平总书记关于做好新时代党的统一战线工作的重要思想大家谈征文活动</w:t>
      </w:r>
    </w:p>
    <w:p>
      <w:pPr>
        <w:spacing w:line="600" w:lineRule="exact"/>
        <w:jc w:val="center"/>
        <w:rPr>
          <w:rFonts w:hint="eastAsia" w:ascii="方正小标宋_GBK" w:hAnsi="方正小标宋_GBK" w:eastAsia="方正小标宋_GBK" w:cs="方正小标宋_GBK"/>
          <w:snapToGrid w:val="0"/>
          <w:color w:val="000000"/>
          <w:sz w:val="44"/>
          <w:szCs w:val="44"/>
        </w:rPr>
      </w:pPr>
      <w:r>
        <w:rPr>
          <w:rFonts w:hint="eastAsia" w:ascii="方正小标宋_GBK" w:hAnsi="方正小标宋_GBK" w:eastAsia="方正小标宋_GBK" w:cs="方正小标宋_GBK"/>
          <w:snapToGrid w:val="0"/>
          <w:color w:val="000000"/>
          <w:sz w:val="44"/>
          <w:szCs w:val="44"/>
        </w:rPr>
        <w:t>获奖名单</w:t>
      </w:r>
    </w:p>
    <w:p>
      <w:pPr>
        <w:spacing w:line="600" w:lineRule="exact"/>
        <w:jc w:val="center"/>
        <w:rPr>
          <w:rFonts w:hint="eastAsia" w:ascii="方正小标宋_GBK" w:hAnsi="方正小标宋_GBK" w:eastAsia="方正小标宋_GBK" w:cs="方正小标宋_GBK"/>
          <w:snapToGrid w:val="0"/>
          <w:color w:val="000000"/>
          <w:sz w:val="44"/>
          <w:szCs w:val="44"/>
        </w:rPr>
      </w:pPr>
    </w:p>
    <w:p>
      <w:pPr>
        <w:adjustRightInd w:val="0"/>
        <w:snapToGrid w:val="0"/>
        <w:spacing w:line="580" w:lineRule="exact"/>
        <w:ind w:firstLine="640" w:firstLineChars="200"/>
        <w:rPr>
          <w:rFonts w:ascii="方正黑体_GBK" w:hAnsi="黑体" w:eastAsia="方正黑体_GBK" w:cs="黑体"/>
          <w:sz w:val="32"/>
          <w:szCs w:val="32"/>
        </w:rPr>
      </w:pPr>
      <w:r>
        <w:rPr>
          <w:rFonts w:hint="eastAsia" w:ascii="方正黑体_GBK" w:hAnsi="黑体" w:eastAsia="方正黑体_GBK" w:cs="黑体"/>
          <w:sz w:val="32"/>
          <w:szCs w:val="32"/>
        </w:rPr>
        <w:t>一</w:t>
      </w:r>
      <w:r>
        <w:rPr>
          <w:rFonts w:hint="eastAsia" w:ascii="方正黑体_GBK" w:hAnsi="黑体" w:eastAsia="方正黑体_GBK" w:cs="黑体"/>
          <w:sz w:val="32"/>
          <w:szCs w:val="32"/>
          <w:lang w:eastAsia="zh-CN"/>
        </w:rPr>
        <w:t>、</w:t>
      </w:r>
      <w:r>
        <w:rPr>
          <w:rFonts w:hint="eastAsia" w:ascii="方正黑体_GBK" w:hAnsi="黑体" w:eastAsia="方正黑体_GBK" w:cs="黑体"/>
          <w:sz w:val="32"/>
          <w:szCs w:val="32"/>
          <w:lang w:val="en-US" w:eastAsia="zh-CN"/>
        </w:rPr>
        <w:t>优秀组织奖（10个）</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重庆大学、西南政法大学、重庆邮电大学、四川美术学院、重庆理工大学、重庆第二师范学院、重庆幼儿师范高等专科学校、重庆城市管理职业学院、重庆商务职业学院、重庆文化艺术职业学院</w:t>
      </w:r>
    </w:p>
    <w:p>
      <w:pPr>
        <w:adjustRightInd w:val="0"/>
        <w:snapToGrid w:val="0"/>
        <w:spacing w:line="580" w:lineRule="exact"/>
        <w:ind w:firstLine="640" w:firstLineChars="200"/>
        <w:rPr>
          <w:rFonts w:hint="eastAsia" w:ascii="方正仿宋_GBK" w:hAnsi="方正仿宋_GBK" w:eastAsia="方正黑体_GBK" w:cs="方正仿宋_GBK"/>
          <w:sz w:val="32"/>
          <w:szCs w:val="32"/>
          <w:lang w:eastAsia="zh-CN"/>
        </w:rPr>
      </w:pPr>
      <w:r>
        <w:rPr>
          <w:rFonts w:hint="eastAsia" w:ascii="方正黑体_GBK" w:hAnsi="黑体" w:eastAsia="方正黑体_GBK" w:cs="黑体"/>
          <w:sz w:val="32"/>
          <w:szCs w:val="32"/>
        </w:rPr>
        <w:t>二、个人奖</w:t>
      </w:r>
      <w:r>
        <w:rPr>
          <w:rFonts w:hint="eastAsia" w:ascii="方正黑体_GBK" w:hAnsi="黑体" w:eastAsia="方正黑体_GBK" w:cs="黑体"/>
          <w:sz w:val="32"/>
          <w:szCs w:val="32"/>
          <w:lang w:eastAsia="zh-CN"/>
        </w:rPr>
        <w:t>（</w:t>
      </w:r>
      <w:r>
        <w:rPr>
          <w:rFonts w:hint="eastAsia" w:ascii="方正黑体_GBK" w:hAnsi="黑体" w:eastAsia="方正黑体_GBK" w:cs="黑体"/>
          <w:sz w:val="32"/>
          <w:szCs w:val="32"/>
          <w:lang w:val="en-US" w:eastAsia="zh-CN"/>
        </w:rPr>
        <w:t>140个</w:t>
      </w:r>
      <w:r>
        <w:rPr>
          <w:rFonts w:hint="eastAsia" w:ascii="方正黑体_GBK" w:hAnsi="黑体" w:eastAsia="方正黑体_GBK" w:cs="黑体"/>
          <w:sz w:val="32"/>
          <w:szCs w:val="32"/>
          <w:lang w:eastAsia="zh-CN"/>
        </w:rPr>
        <w:t>）</w:t>
      </w:r>
    </w:p>
    <w:tbl>
      <w:tblPr>
        <w:tblStyle w:val="3"/>
        <w:tblW w:w="822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23"/>
        <w:gridCol w:w="3805"/>
        <w:gridCol w:w="858"/>
        <w:gridCol w:w="1905"/>
        <w:gridCol w:w="10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方正黑体_GBK" w:hAnsi="方正黑体_GBK" w:eastAsia="方正黑体_GBK" w:cs="方正黑体_GBK"/>
                <w:i w:val="0"/>
                <w:iCs w:val="0"/>
                <w:color w:val="000000"/>
                <w:sz w:val="20"/>
                <w:szCs w:val="20"/>
                <w:u w:val="none"/>
              </w:rPr>
            </w:pPr>
            <w:r>
              <w:rPr>
                <w:rFonts w:hint="eastAsia" w:ascii="方正黑体_GBK" w:hAnsi="方正黑体_GBK" w:eastAsia="方正黑体_GBK" w:cs="方正黑体_GBK"/>
                <w:i w:val="0"/>
                <w:iCs w:val="0"/>
                <w:color w:val="000000"/>
                <w:kern w:val="0"/>
                <w:sz w:val="20"/>
                <w:szCs w:val="20"/>
                <w:u w:val="none"/>
                <w:lang w:val="en-US" w:eastAsia="zh-CN" w:bidi="ar"/>
              </w:rPr>
              <w:t>序号</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黑体_GBK" w:hAnsi="方正黑体_GBK" w:eastAsia="方正黑体_GBK" w:cs="方正黑体_GBK"/>
                <w:i w:val="0"/>
                <w:iCs w:val="0"/>
                <w:color w:val="000000"/>
                <w:sz w:val="20"/>
                <w:szCs w:val="20"/>
                <w:u w:val="none"/>
              </w:rPr>
            </w:pPr>
            <w:r>
              <w:rPr>
                <w:rFonts w:hint="eastAsia" w:ascii="方正黑体_GBK" w:hAnsi="方正黑体_GBK" w:eastAsia="方正黑体_GBK" w:cs="方正黑体_GBK"/>
                <w:i w:val="0"/>
                <w:iCs w:val="0"/>
                <w:color w:val="000000"/>
                <w:kern w:val="0"/>
                <w:sz w:val="20"/>
                <w:szCs w:val="20"/>
                <w:u w:val="none"/>
                <w:lang w:val="en-US" w:eastAsia="zh-CN" w:bidi="ar"/>
              </w:rPr>
              <w:t>作品名称</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黑体_GBK" w:hAnsi="方正黑体_GBK" w:eastAsia="方正黑体_GBK" w:cs="方正黑体_GBK"/>
                <w:i w:val="0"/>
                <w:iCs w:val="0"/>
                <w:color w:val="000000"/>
                <w:sz w:val="20"/>
                <w:szCs w:val="20"/>
                <w:u w:val="none"/>
              </w:rPr>
            </w:pPr>
            <w:r>
              <w:rPr>
                <w:rFonts w:hint="eastAsia" w:ascii="方正黑体_GBK" w:hAnsi="方正黑体_GBK" w:eastAsia="方正黑体_GBK" w:cs="方正黑体_GBK"/>
                <w:i w:val="0"/>
                <w:iCs w:val="0"/>
                <w:color w:val="000000"/>
                <w:kern w:val="0"/>
                <w:sz w:val="20"/>
                <w:szCs w:val="20"/>
                <w:u w:val="none"/>
                <w:lang w:val="en-US" w:eastAsia="zh-CN" w:bidi="ar"/>
              </w:rPr>
              <w:t>作者</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黑体_GBK" w:hAnsi="方正黑体_GBK" w:eastAsia="方正黑体_GBK" w:cs="方正黑体_GBK"/>
                <w:i w:val="0"/>
                <w:iCs w:val="0"/>
                <w:color w:val="000000"/>
                <w:sz w:val="20"/>
                <w:szCs w:val="20"/>
                <w:u w:val="none"/>
              </w:rPr>
            </w:pPr>
            <w:r>
              <w:rPr>
                <w:rFonts w:hint="eastAsia" w:ascii="方正黑体_GBK" w:hAnsi="方正黑体_GBK" w:eastAsia="方正黑体_GBK" w:cs="方正黑体_GBK"/>
                <w:i w:val="0"/>
                <w:iCs w:val="0"/>
                <w:color w:val="000000"/>
                <w:kern w:val="0"/>
                <w:sz w:val="20"/>
                <w:szCs w:val="20"/>
                <w:u w:val="none"/>
                <w:lang w:val="en-US" w:eastAsia="zh-CN" w:bidi="ar"/>
              </w:rPr>
              <w:t>所在单位</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黑体_GBK" w:hAnsi="方正黑体_GBK" w:eastAsia="方正黑体_GBK" w:cs="方正黑体_GBK"/>
                <w:i w:val="0"/>
                <w:iCs w:val="0"/>
                <w:color w:val="000000"/>
                <w:sz w:val="20"/>
                <w:szCs w:val="20"/>
                <w:u w:val="none"/>
              </w:rPr>
            </w:pPr>
            <w:r>
              <w:rPr>
                <w:rFonts w:hint="eastAsia" w:ascii="方正黑体_GBK" w:hAnsi="方正黑体_GBK" w:eastAsia="方正黑体_GBK" w:cs="方正黑体_GBK"/>
                <w:i w:val="0"/>
                <w:iCs w:val="0"/>
                <w:color w:val="000000"/>
                <w:kern w:val="0"/>
                <w:sz w:val="20"/>
                <w:szCs w:val="20"/>
                <w:u w:val="none"/>
                <w:lang w:val="en-US" w:eastAsia="zh-CN" w:bidi="ar"/>
              </w:rPr>
              <w:t>获奖等级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1</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深刻把握做好统战工作的“道”和“术”</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金更兴</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西南大学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2</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统一战线：隐秘而伟大的力量</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阳泽</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西南大学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3</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守正与创新：新时代政法院校教师的统战工作</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肖顺武</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西南政法大学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4</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关于多举措推进党外年轻干部队伍建设的实践与思考</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——以西南政法大学为例</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龚昫</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西南政法大学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5</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拥抱新时代开启新征程，</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高校统战要答好“三同”考题</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徐泉</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西南政法大学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6</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“团结的意味”：建党精神培育时代新人的统战文化范式</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沈琪蕊 刘昭</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西南政法大学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7</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听党话跟党走 高等院校民主党派基层组织建设的几点思考</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王洋</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重庆邮电大学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8</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新时代党的统一战线为实现中华民族复兴汇聚磅礴伟力</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黄琼</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重庆邮电大学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9</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新时代高校统战工作如何做好党外知识分子统战工作</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 xml:space="preserve"> 宋平</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重庆交通大学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10</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广泛凝聚智慧力量 扎实做好新时代统一战线思想政治工作</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成肖</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重庆工商大学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11</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举艺术之力，筑复兴之梦</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——在“艺术+”行动中坚定五个认同</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白乡林</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四川美术学院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12</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凝心聚力，做好新时代高校“大统战”工作</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张绪玉</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重庆理工大学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13</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同舟共济扬帆起，乘风破浪万里航</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马增威</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重庆理工大学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14</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新时代党的统一战线工作的守正与创新</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——学习习近平总书记关于做好新时代党的统一战线工作的重要思想的理论思考</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陈伟</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重庆理工大学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15</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视觉文化时代图像赋能统战工作的逻辑理路</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苗存龙 王瑞林</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重庆理工大学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16</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天下谁人不识君——新时代国际统一战线</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孔傲翀</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重庆理工大学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17</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三个“更加重要”背景下高校统战工作策略研究</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杨加强</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重庆文理学院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18</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做好新时代高校基层党支部统战工作的思考</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王毅磊</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重庆文理学院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19</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创设共同体意识下高校基层统战工作实践探索</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----以重庆第二师范学院基层统战工作为例</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符淼 赵云梅</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重庆第二师范学院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20</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党外代表人士代表性影响力提升的对策及建议</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邓明川</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重庆第二师范学院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21</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凝聚力量发挥高校教师作用，推动新时代党的统战工作</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唐艺萌</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重庆外语外事学院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22</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传承统战文化 深入推进重庆“一都一城”建设</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田欣鹭</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重庆电力高等专科学校</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23</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做好新时代党的统一战线工作，画好最大“同心圆”</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肖喜丹</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重庆电力高等专科学校</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24</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新时代中华民族共同体意识教育与高校思政课教学的关联耦合</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李艳</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重庆幼儿师范高等专科学校</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25</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高校铸牢中华民族共同体意识的实践路径探究</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刘丹 陈洁珂 王婷婷 黄年东</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重庆幼儿师范高等专科学校</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26</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铸牢中华民族共同体意识的理论基点</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杜东芳 姚国星</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重庆幼儿师范高等专科学校</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27</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 xml:space="preserve">   感恩统战 助我成长</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高春璐</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重庆航天职业技术学院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28</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新时代统一战线事业发展的根本指针</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刘源</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重庆航天职业技术学院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29</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红岩精神与新时代统一战线工作的文化建设</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张艳</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重庆工商职业学院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30</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新时代党的统一战线工作重要思想的价值意蕴</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龚春燕</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重庆商务职业学院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31</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以“六个坚持”开创新时代高校统战工作新局面</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苏启立</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重庆商务职业学院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32</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凝心聚力促发展   团结进步谱新篇</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——学习贯彻习近平总书记关于做好新时代党的统一战线工作的重要思想心得体会</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陈涛涛</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重庆科创职业学院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33</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理直气壮地做好新时代统战工作</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必须始终做到心中有党</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谭艳</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重庆资源与环境保护职业学院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一等奖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34</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统战视域下高校校园文化活动项目化育人的实践探索</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李颖 刘敏</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35</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围绕农工党基本任务，打造“一带一路”科技合作平台</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实现“双一流”科技强校战略</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张薇</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36</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落实下去，凝聚起来——新时代高校民主党派基层组织的政治责任</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吕家恪</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西南大学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37</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凝聚力量，共筑梦想</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——新时代高校统一战线工作的实践与思考</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钟楠</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重庆邮电大学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38</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学习习近平新时代党的统一战线思想汇聚同心力量 践行使命服务数字经济创新发展</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——深入学习领悟习近平总书记关于做好新时代党的统一战线工作的重要思想之重邮民进支部的探索</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易燕</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重庆邮电大学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39</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凝聚统一战线奋进力量，谱写教育强国崭新篇章</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赵洋</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1F1F1F"/>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重庆邮电大学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40</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奋进新时代，团结致远</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——习近平总书记关于做好新时代党的统一战线工作的重要思想在重庆邮电大学的实践与探索</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王昆</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重庆邮电大学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41</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凝聚智慧力量 激发统战动能</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易之瑶</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重庆工商大学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42</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枫桥经验与统战工作的结合：探索新时代基层社会治理新路径</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杨海林</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重庆工商大学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43</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打开全球视角，更见“中国式团结”之可贵</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王媛</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四川外国语大学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44</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肝胆相照 荣辱与共</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——从新中国美术史看中国统一战线</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冯大庆</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四川美术学院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45</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用画笔书写责任，以艺术践行担当</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雷勇斌</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四川美术学院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46</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以艺术画出“最大同心圆”</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——贯彻习近平总书记做好新时代统一战线工作要求的艺术院校实践及思考</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郑川</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四川美术学院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47</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团结奋斗谱写新时代统战新篇章</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凝心聚力画好新征程最大同心圆</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陈国宝</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重庆理工大学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48</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 xml:space="preserve"> 铭记合作初心，携手开创未来</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周建 赵兴国 文洁</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重庆理工大学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49</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统一战线服务民生工作的实践基础</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李红霞</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重庆理工大学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50</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新时代做好网络统战工作的几点思考</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刘大志</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重庆理工大学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51</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“红芯闪耀”党建引领聚合力</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“专创融合”统一战线共育人</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——重庆理工大学计算机科学与工程学院统战工作经验做法</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杨甜娜</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重庆理工大学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52</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参政议政建箴言，画好最美同心圆</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王选伦</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重庆理工大学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53</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新时代高校统战工作创新路径探析</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尚巧玲</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重庆三峡学院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54</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从学生工作角度谈如何做好大学生统战工作</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刘林精</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重庆三峡学院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5"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55</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调动一切积极因素，为实现中华民族伟大复兴而奋斗</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——习近平“关于‘做好新时代爱国统一战线工作’的重要思想”学习体会</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梁绍君</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重庆文理学院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56</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习近平新时代高校铸牢中华民族共同体意识的路径研究</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——以长江师范学院为例</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李愉</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长江师范学院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57</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做好新时代高校统战工作的思考及对策</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肖佳玲</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长江师范学院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58</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以中共中央南方局统战历史映照统战变革型组织的实践进路</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王冬冬</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重庆科技大学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59</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新时代高校党外教师统战工作载体运用与创新</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郑义</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重庆第二师范学院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60</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地方师范院校民族团结教育工作模式创新的价值、困境和路径</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夏漾</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重庆第二师范学院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61</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从“大团结大联合”来谈新时代党的统一战线</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吴洁</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重庆第二师范学院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62</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新时代加强统一战线的新思考</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陈娇 李亚军</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重庆对外经贸学院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63</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论高校统战工作存在的问题和对策</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汤菊芳 袁森</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重庆对外经贸学院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64</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新时代加强高校统战工作的路径创新研究</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肖珺</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重庆外语外事学院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65</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这一刻，他们让世界看见中国的美</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哈锦祎</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重庆外语外事学院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66</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强化高校统战工作 铸牢高校统战意识</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黎静</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重庆工商大学派斯学院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67</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以中华优秀传统文化促进各民族团结奋斗</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谭乾权</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重庆幼儿师范高等专科学校</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68</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习近平总书记关于党的统一战线工作的重要思想对国际交流合作的启示</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张新亮</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重庆工业职业技术学院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69</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“两个结合”融入铸牢中华民族共同体意识的三重意蕴</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邹静</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重庆城市管理职业学院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70</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重庆统战历史文化资源保护与再利用思考</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邓广山  刘盛坤</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重庆城市管理职业学院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71</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着力推进新时代高校统战工作高质量发展</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李维辉</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重庆工程职业技术学院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72</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论新时代统一战线理论的创新性发展</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孟莎莎   高鸿飞</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重庆三峡职业学院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73</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新时代大统战工作格局的实践路径分析</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艾海涛</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重庆工贸职业技术学院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74</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以“大统战”格局推动高校统战工作</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高质量发展</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邓娟</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重庆工商职业学院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75</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坚持“大统战”工作格局提升高校治理能力</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刘荣</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1F1F1F"/>
                <w:kern w:val="0"/>
                <w:sz w:val="20"/>
                <w:szCs w:val="20"/>
                <w:u w:val="none"/>
                <w:lang w:val="en-US" w:eastAsia="zh-CN" w:bidi="ar"/>
              </w:rPr>
              <w:t>重庆财经职业学院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76</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立德树人大团结，籽籽同心共奋进</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余欣</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1F1F1F"/>
                <w:kern w:val="0"/>
                <w:sz w:val="20"/>
                <w:szCs w:val="20"/>
                <w:u w:val="none"/>
                <w:lang w:val="en-US" w:eastAsia="zh-CN" w:bidi="ar"/>
              </w:rPr>
              <w:t>重庆财经职业学院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77</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实施“六大引领工程” 增强党外知识分子思想政治工作实效性</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欧蓉</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1F1F1F"/>
                <w:kern w:val="0"/>
                <w:sz w:val="20"/>
                <w:szCs w:val="20"/>
                <w:u w:val="none"/>
                <w:lang w:val="en-US" w:eastAsia="zh-CN" w:bidi="ar"/>
              </w:rPr>
              <w:t>重庆财经职业学院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78</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守正创新：奋力开创新时代高校统战工作新局面</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吴成义</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重庆商务职业学院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79</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新时代下高校数字统战工作研究</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岳斯玮</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重庆商务职业学院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80</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从统战人士书信看红岩精神</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黄冬香</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重庆商务职业学院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81</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见微知著，因小见大</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“家”观念视阈下浅抒高校学生管理与</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统一战线工作心得</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许圣诗</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重庆文化艺术职业学院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82</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籽籽同心，心心向党</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——基于本校铸牢中华民族共同体意识教育的思考与实践</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章艳丽</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重庆文化艺术职业学院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83</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致敬伟大时代  书写奋斗新篇</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石雨彤</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重庆传媒职业学院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84</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新时代统一战线工作思想的生成逻辑探析</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程地荣</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重庆应用技术职业学院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85</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统一战线新篇章：《中国共产党统一战线工作条例》的深度解析与未来展望</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潘佳</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重庆艺术工程职业学院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86</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新时代民办高职院校统战工作存在的</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不足及对策探析</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张婷</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重庆科技职业学院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二等奖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87</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“统战思维”在高校教育中的实践与运用</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郑石</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1"/>
                <w:szCs w:val="21"/>
                <w:u w:val="none"/>
                <w:lang w:val="en-US" w:eastAsia="zh-CN" w:bidi="ar"/>
              </w:rPr>
              <w:t>88</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做好“一二三四五” 锻造新时代过硬参政党队伍</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陈泽军</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89</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0"/>
                <w:sz w:val="20"/>
                <w:szCs w:val="20"/>
                <w:u w:val="none"/>
                <w:lang w:val="en-US" w:eastAsia="zh-CN" w:bidi="ar"/>
              </w:rPr>
            </w:pPr>
            <w:r>
              <w:rPr>
                <w:rFonts w:hint="eastAsia" w:ascii="方正仿宋_GBK" w:hAnsi="方正仿宋_GBK" w:eastAsia="方正仿宋_GBK" w:cs="方正仿宋_GBK"/>
                <w:i w:val="0"/>
                <w:iCs w:val="0"/>
                <w:color w:val="000000"/>
                <w:kern w:val="0"/>
                <w:sz w:val="20"/>
                <w:szCs w:val="20"/>
                <w:u w:val="none"/>
                <w:lang w:val="en-US" w:eastAsia="zh-CN" w:bidi="ar"/>
              </w:rPr>
              <w:t>新时代高校做好统一战线工作的建设进路——以重庆大学统战工作为例</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0"/>
                <w:sz w:val="20"/>
                <w:szCs w:val="20"/>
                <w:u w:val="none"/>
                <w:lang w:val="en-US" w:eastAsia="zh-CN" w:bidi="ar"/>
              </w:rPr>
            </w:pPr>
            <w:r>
              <w:rPr>
                <w:rFonts w:hint="eastAsia" w:ascii="方正仿宋_GBK" w:hAnsi="方正仿宋_GBK" w:eastAsia="方正仿宋_GBK" w:cs="方正仿宋_GBK"/>
                <w:i w:val="0"/>
                <w:iCs w:val="0"/>
                <w:color w:val="000000"/>
                <w:kern w:val="0"/>
                <w:sz w:val="20"/>
                <w:szCs w:val="20"/>
                <w:u w:val="none"/>
                <w:lang w:val="en-US" w:eastAsia="zh-CN" w:bidi="ar"/>
              </w:rPr>
              <w:t>杜俊华 谢红宇</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重庆大学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90</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凝心聚力、团结奋进：致公党员在高校统一战线中的责任与使命</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石志鸣</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西南大学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91</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新时代高校党外代表人士队伍</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建设的实践与思考</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——以西南政法大学为例</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周倩</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西南政法大学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92</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统一战线：抗日战争时期《新华日报》的重要追求</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蔡婓</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西南政法大学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93</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追光而遇，沐光而行——我与知联会共成长</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唐忠会</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重庆师范大学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94</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统一战线视域下党外知识分子的“科研爱国”</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唐忠会</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重庆师范大学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95</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习近平总书记关于做好新时代党的统一战线工作的重要思想”学习心得</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唐飞</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重庆邮电大学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96</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新时代下加强统战干部队伍建设的探索与实践</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——以重庆邮电大学为例</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杨万秀</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重庆邮电大学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97</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新时代网络统战的问题与对策探析</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魏艳</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重庆交通大学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98</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以统一战线凝识聚力，助推中华民族伟大复兴</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唐丽淼</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重庆工商大学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99</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习近平大统战观的当下价值</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徐艳 朱泓锦</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四川外国语大学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100</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凝心聚力，共筑中国梦——九三学社在新时代统一战线工作中的使命与担当</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唐宏伟</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四川美术学院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101</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艺术工作者群体的统战工作实践心得</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郭宇</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四川美术学院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102</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岁月留痕的同心记忆</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——有感重庆统战文化而作</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吴倩</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四川美术学院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103</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政治引领 守正创新</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扎实做好新时代高校统战工作</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于洋洋</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四川美术学院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104</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凝心聚力谱新篇 同心同筑中国梦</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 xml:space="preserve">    ——学习习近平总书记关于做好新时代党的统一战线工作的重要思想有感</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张会</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重庆理工大学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105</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新时代党的统一战线的认识</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舒茂</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重庆理工大学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106</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凝心聚力，真抓实干，共谱新时代</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统一战线新征程</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陈丽雪  孙靖</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重庆理工大学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107</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“互联网+”新时代下创新高校统战工作的思考</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李祥 杨嘉</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重庆理工大学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108</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统一战线在新时代高校立德树人中的作用</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王桀</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重庆理工大学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109</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习近平新时代中国特色社会主义统一战线思想在重庆理工大学体育教学部的学习与总结</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乔凯</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重庆理工大学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110</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以“红色引擎”驱动中华民族共同体意识教育</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覃元理</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重庆理工大学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111</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与党同心，贡献新力量</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王路生</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重庆理工大学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112</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高校思政理论课加强统战知识教学的若干途径</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王广锋</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重庆三峡学院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113</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关于加强高校党外知识分子思想引领的建议</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潘明安</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重庆三峡学院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sz w:val="21"/>
                <w:szCs w:val="21"/>
                <w:u w:val="none"/>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114</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高校统一战线</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服务乡村振兴战略的路径研究</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 xml:space="preserve">邓德学 徐新瑞 </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重庆文理学院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115</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传承九三精神 彰显统战担当</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汤金柱</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长江师范学院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116</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大思政课视域下高校统一战线育人的意义及实现路径</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关平</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重庆科技大学</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117</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关于高校基层党组织建立二级统战工作</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领导小组机制的思考及建议</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季颜骏</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重庆第二师范学院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118</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党的统一战线工作推进中国式现代化的时代价值、内在逻辑与实践理路</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喻清</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重庆对外经贸学院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119</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做好新时期高校统一战线工作的</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对策和建议</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胡宇晗</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重庆外语外事学院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120</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凝聚统战向心力</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张小芳</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重庆工商大学派斯学院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121</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重庆抗日民族统一战线实践对新时代统战工作的启示</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邓鳌</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重庆工商大学派斯学院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122</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浅析新时代高校统战工作的困境与出路</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蒋言芬</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重庆电力高等专科学校</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123</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守正创新  开创新时代高校统战工作新局面</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何文清 何颖</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重庆三峡医药高等专科学校</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124</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真抓实干，勇担责任——统一战线凝心聚力践行新时代新征程新任务</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黄山鹰 谭安全 李贤容 王玥</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重庆幼儿师范高等专科学校</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125</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 xml:space="preserve"> 坚持统一战线，做一名合格的高校教师</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孙莉莎</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重庆城市管理职业学院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126</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新时代高职教育党的统一战线工作探究</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刘广少</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重庆城市管理职业学院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127</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不拒众流 方为江海</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——论统一战线与中国式现代化</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吕婷</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重庆城市管理职业学院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128</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新时代高职院校民主党派基层组织建设现状及对策</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江茂森龙杜娟</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重庆城市管理职业学院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129</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统一战线是中国共产党凝聚人心、汇聚力量的重要法宝</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朱红霞</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1F1F1F"/>
                <w:kern w:val="0"/>
                <w:sz w:val="20"/>
                <w:szCs w:val="20"/>
                <w:u w:val="none"/>
                <w:lang w:val="en-US" w:eastAsia="zh-CN" w:bidi="ar"/>
              </w:rPr>
              <w:t>重庆财经职业学院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130</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高职院校二级院系统战工作提质增效路径研究</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刘燕</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重庆商务职业学院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131</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新时代重庆高校少数民族学生统战工作</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路径初探</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蔡淋芬 胡大勇</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重庆商务职业学院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132</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关于新形势下党的统一战线工作的思考</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杜毅鹏</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重庆商务职业学院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133</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提升“思政+统战”工作质效，汇聚“一融双高”强大合力</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师晓</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重庆文化艺术职业学院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134</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用“三心”夯基石谋发展</w:t>
            </w:r>
            <w:r>
              <w:rPr>
                <w:rFonts w:hint="eastAsia" w:ascii="方正仿宋_GBK" w:hAnsi="方正仿宋_GBK" w:eastAsia="方正仿宋_GBK" w:cs="方正仿宋_GBK"/>
                <w:i w:val="0"/>
                <w:iCs w:val="0"/>
                <w:color w:val="000000"/>
                <w:kern w:val="0"/>
                <w:sz w:val="20"/>
                <w:szCs w:val="20"/>
                <w:u w:val="none"/>
                <w:lang w:val="en-US" w:eastAsia="zh-CN" w:bidi="ar"/>
              </w:rPr>
              <w:br w:type="textWrapping"/>
            </w:r>
            <w:r>
              <w:rPr>
                <w:rFonts w:hint="eastAsia" w:ascii="方正仿宋_GBK" w:hAnsi="方正仿宋_GBK" w:eastAsia="方正仿宋_GBK" w:cs="方正仿宋_GBK"/>
                <w:i w:val="0"/>
                <w:iCs w:val="0"/>
                <w:color w:val="000000"/>
                <w:kern w:val="0"/>
                <w:sz w:val="20"/>
                <w:szCs w:val="20"/>
                <w:u w:val="none"/>
                <w:lang w:val="en-US" w:eastAsia="zh-CN" w:bidi="ar"/>
              </w:rPr>
              <w:t>——学习新时代党的统一战线工作的重要思想感悟</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郭娅</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重庆文化艺术职业学院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135</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统一战线促发展，汇聚力量创和谐</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刘远芬</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重庆文化艺术职业学院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136</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深刻领悟习近平新时代中国特色社会主义思想凝聚力量，共筑中国梦</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李致葆</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重庆工信职业学院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137</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统一战线培养学生良好意志</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孙秋</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重庆传媒职业学院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138</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关于新时代统战工作重要性的认识与思考</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张毅</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重庆艺术工程职业学院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139</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 xml:space="preserve"> 浅谈统战工作对于高职院校学工工作作用的方法探索</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刘远媛</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重庆艺术工程职业学院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1"/>
                <w:szCs w:val="21"/>
                <w:u w:val="none"/>
                <w:lang w:val="en-US" w:eastAsia="zh-CN" w:bidi="ar"/>
              </w:rPr>
              <w:t>140</w:t>
            </w:r>
          </w:p>
        </w:tc>
        <w:tc>
          <w:tcPr>
            <w:tcW w:w="38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我的支部我的盟</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程道江</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重庆科技职业学院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K" w:hAnsi="方正仿宋_GBK" w:eastAsia="方正仿宋_GBK" w:cs="方正仿宋_GBK"/>
                <w:i w:val="0"/>
                <w:iCs w:val="0"/>
                <w:color w:val="000000"/>
                <w:kern w:val="2"/>
                <w:sz w:val="21"/>
                <w:szCs w:val="21"/>
                <w:u w:val="none"/>
                <w:lang w:val="en-US" w:eastAsia="zh-CN" w:bidi="ar-SA"/>
              </w:rPr>
            </w:pPr>
            <w:r>
              <w:rPr>
                <w:rFonts w:hint="eastAsia" w:ascii="方正仿宋_GBK" w:hAnsi="方正仿宋_GBK" w:eastAsia="方正仿宋_GBK" w:cs="方正仿宋_GBK"/>
                <w:i w:val="0"/>
                <w:iCs w:val="0"/>
                <w:color w:val="000000"/>
                <w:kern w:val="0"/>
                <w:sz w:val="20"/>
                <w:szCs w:val="20"/>
                <w:u w:val="none"/>
                <w:lang w:val="en-US" w:eastAsia="zh-CN" w:bidi="ar"/>
              </w:rPr>
              <w:t>三等奖</w:t>
            </w:r>
          </w:p>
        </w:tc>
      </w:tr>
    </w:tbl>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p>
    <w:p>
      <w:pPr>
        <w:keepNext w:val="0"/>
        <w:keepLines w:val="0"/>
        <w:pageBreakBefore w:val="0"/>
        <w:kinsoku/>
        <w:wordWrap/>
        <w:overflowPunct/>
        <w:topLinePunct w:val="0"/>
        <w:autoSpaceDE/>
        <w:autoSpaceDN/>
        <w:bidi w:val="0"/>
        <w:adjustRightInd/>
        <w:snapToGrid/>
        <w:spacing w:line="560" w:lineRule="exact"/>
        <w:ind w:left="1407" w:leftChars="270" w:hanging="840" w:hangingChars="300"/>
        <w:textAlignment w:val="auto"/>
        <w:rPr>
          <w:rFonts w:hint="eastAsia" w:ascii="方正仿宋_GBK" w:hAnsi="方正仿宋_GBK" w:eastAsia="方正仿宋_GBK" w:cs="方正仿宋_GBK"/>
          <w:i w:val="0"/>
          <w:iCs w:val="0"/>
          <w:caps w:val="0"/>
          <w:color w:val="auto"/>
          <w:spacing w:val="0"/>
          <w:sz w:val="28"/>
          <w:szCs w:val="28"/>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90101010101"/>
    <w:charset w:val="86"/>
    <w:family w:val="auto"/>
    <w:pitch w:val="default"/>
    <w:sig w:usb0="800002BF" w:usb1="38CF7CFA" w:usb2="00000016" w:usb3="00000000" w:csb0="6016019D" w:csb1="D3F70000"/>
  </w:font>
  <w:font w:name="Wingdings">
    <w:altName w:val="Standard Symbols P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script"/>
    <w:pitch w:val="default"/>
    <w:sig w:usb0="00000001" w:usb1="08000000" w:usb2="00000000" w:usb3="00000000" w:csb0="00040000" w:csb1="00000000"/>
  </w:font>
  <w:font w:name="Standard Symbols PS">
    <w:panose1 w:val="05050102010706020507"/>
    <w:charset w:val="00"/>
    <w:family w:val="auto"/>
    <w:pitch w:val="default"/>
    <w:sig w:usb0="00000003" w:usb1="00000000" w:usb2="00000000" w:usb3="00000000" w:csb0="00000001"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FjOTJlYjc3NjY5MjMzNzk1YjlkYWJjMTdjYjBmZGIifQ=="/>
  </w:docVars>
  <w:rsids>
    <w:rsidRoot w:val="2D0849F3"/>
    <w:rsid w:val="020D45CF"/>
    <w:rsid w:val="05144849"/>
    <w:rsid w:val="09FB7390"/>
    <w:rsid w:val="0F0D0985"/>
    <w:rsid w:val="161E4A99"/>
    <w:rsid w:val="166B3C5B"/>
    <w:rsid w:val="17CE58BD"/>
    <w:rsid w:val="18D019BE"/>
    <w:rsid w:val="1B8F351E"/>
    <w:rsid w:val="1BA84F79"/>
    <w:rsid w:val="1D776083"/>
    <w:rsid w:val="1D856582"/>
    <w:rsid w:val="22FE0405"/>
    <w:rsid w:val="28EF140D"/>
    <w:rsid w:val="2B750812"/>
    <w:rsid w:val="2D0849F3"/>
    <w:rsid w:val="2E140AE7"/>
    <w:rsid w:val="31E168B8"/>
    <w:rsid w:val="343433AC"/>
    <w:rsid w:val="36A05C7E"/>
    <w:rsid w:val="38B716FC"/>
    <w:rsid w:val="398B623D"/>
    <w:rsid w:val="3D386791"/>
    <w:rsid w:val="40D46158"/>
    <w:rsid w:val="459C0CF6"/>
    <w:rsid w:val="49415F1A"/>
    <w:rsid w:val="4A0024BB"/>
    <w:rsid w:val="4AD6017E"/>
    <w:rsid w:val="4BD57C51"/>
    <w:rsid w:val="4C0A5D05"/>
    <w:rsid w:val="545F3BA5"/>
    <w:rsid w:val="54A9711A"/>
    <w:rsid w:val="5586570A"/>
    <w:rsid w:val="57AA3356"/>
    <w:rsid w:val="591E33AB"/>
    <w:rsid w:val="5A6C040F"/>
    <w:rsid w:val="5BEE45FC"/>
    <w:rsid w:val="5C063317"/>
    <w:rsid w:val="5CF30306"/>
    <w:rsid w:val="5D5A2877"/>
    <w:rsid w:val="60072023"/>
    <w:rsid w:val="60825D91"/>
    <w:rsid w:val="66312710"/>
    <w:rsid w:val="67920C46"/>
    <w:rsid w:val="684631E4"/>
    <w:rsid w:val="6913708C"/>
    <w:rsid w:val="6B0E5091"/>
    <w:rsid w:val="6BA75EEE"/>
    <w:rsid w:val="6C303A75"/>
    <w:rsid w:val="6CEB28D1"/>
    <w:rsid w:val="6D846C13"/>
    <w:rsid w:val="6E7D50C1"/>
    <w:rsid w:val="7815495B"/>
    <w:rsid w:val="79824016"/>
    <w:rsid w:val="7A4016C8"/>
    <w:rsid w:val="7C253C5B"/>
    <w:rsid w:val="7D6E6D76"/>
    <w:rsid w:val="F17FA3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2024-01-19T15:12:00Z</dcterms:created>
  <dc:creator>田丰</dc:creator>
  <cp:lastModifiedBy>sugon</cp:lastModifiedBy>
  <cp:lastPrinted>2024-01-22T11:07:00Z</cp:lastPrinted>
  <dcterms:modified xsi:type="dcterms:W3CDTF">2024-01-22T14:52:16Z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y fmtid="{D5CDD505-2E9C-101B-9397-08002B2CF9AE}" pid="3" name="ICV">
    <vt:lpwstr>B7E88BCD4893449391E539FCB56CE543_11</vt:lpwstr>
  </property>
</Properties>
</file>